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5132" w14:textId="2093180B" w:rsidR="008A070C" w:rsidRDefault="004F2908" w:rsidP="008A070C">
      <w:pPr>
        <w:pBdr>
          <w:top w:val="nil"/>
          <w:left w:val="nil"/>
          <w:bottom w:val="nil"/>
          <w:right w:val="nil"/>
          <w:between w:val="nil"/>
        </w:pBdr>
        <w:jc w:val="center"/>
        <w:rPr>
          <w:color w:val="000000"/>
          <w:sz w:val="28"/>
          <w:szCs w:val="28"/>
        </w:rPr>
      </w:pPr>
      <w:bookmarkStart w:id="0" w:name="_Hlk149238634"/>
      <w:r w:rsidRPr="004F2908">
        <w:rPr>
          <w:b/>
          <w:color w:val="000000"/>
          <w:sz w:val="28"/>
          <w:szCs w:val="28"/>
        </w:rPr>
        <w:t>Evaluation of the Impact of Sediment Material Usage</w:t>
      </w:r>
      <w:bookmarkEnd w:id="0"/>
      <w:r w:rsidRPr="004F2908">
        <w:rPr>
          <w:b/>
          <w:color w:val="000000"/>
          <w:sz w:val="28"/>
          <w:szCs w:val="28"/>
        </w:rPr>
        <w:t xml:space="preserve"> in the Upper Bili-Bili Reservoir as Fine Aggregate Substitute in Concrete Construction: Public Administration Perspective</w:t>
      </w:r>
      <w:r w:rsidR="00D22C1D" w:rsidRPr="00D22C1D">
        <w:rPr>
          <w:b/>
          <w:color w:val="000000"/>
          <w:sz w:val="28"/>
          <w:szCs w:val="28"/>
        </w:rPr>
        <w:t xml:space="preserve"> </w:t>
      </w:r>
    </w:p>
    <w:p w14:paraId="01F8D065" w14:textId="77777777" w:rsidR="008A070C" w:rsidRDefault="008A070C" w:rsidP="008A070C">
      <w:pPr>
        <w:pBdr>
          <w:top w:val="nil"/>
          <w:left w:val="nil"/>
          <w:bottom w:val="nil"/>
          <w:right w:val="nil"/>
          <w:between w:val="nil"/>
        </w:pBdr>
        <w:jc w:val="center"/>
        <w:rPr>
          <w:color w:val="000000"/>
          <w:sz w:val="28"/>
          <w:szCs w:val="28"/>
        </w:rPr>
      </w:pPr>
    </w:p>
    <w:p w14:paraId="059826EF" w14:textId="28733D6B" w:rsidR="00AA00F8" w:rsidRPr="00AA00F8" w:rsidRDefault="00F33AA6" w:rsidP="00AA00F8">
      <w:pPr>
        <w:jc w:val="center"/>
        <w:rPr>
          <w:b/>
          <w:bCs/>
          <w:iCs/>
          <w:szCs w:val="24"/>
          <w:vertAlign w:val="superscript"/>
        </w:rPr>
      </w:pPr>
      <w:r w:rsidRPr="00F33AA6">
        <w:rPr>
          <w:b/>
          <w:bCs/>
          <w:iCs/>
          <w:szCs w:val="24"/>
        </w:rPr>
        <w:t>Moeh. Kay Muddin Asnur</w:t>
      </w:r>
      <w:r w:rsidRPr="00F33AA6">
        <w:rPr>
          <w:b/>
          <w:bCs/>
          <w:iCs/>
          <w:szCs w:val="24"/>
          <w:vertAlign w:val="superscript"/>
        </w:rPr>
        <w:t>1</w:t>
      </w:r>
      <w:r w:rsidRPr="00F33AA6">
        <w:rPr>
          <w:b/>
          <w:bCs/>
          <w:iCs/>
          <w:szCs w:val="24"/>
        </w:rPr>
        <w:t>, Ahmad Rifqi Asrib</w:t>
      </w:r>
      <w:r w:rsidRPr="00F33AA6">
        <w:rPr>
          <w:b/>
          <w:bCs/>
          <w:iCs/>
          <w:szCs w:val="24"/>
          <w:vertAlign w:val="superscript"/>
        </w:rPr>
        <w:t>2</w:t>
      </w:r>
      <w:r w:rsidRPr="00F33AA6">
        <w:rPr>
          <w:b/>
          <w:bCs/>
          <w:iCs/>
          <w:szCs w:val="24"/>
        </w:rPr>
        <w:t>, M. Reza Hasrul</w:t>
      </w:r>
      <w:r w:rsidRPr="00F33AA6">
        <w:rPr>
          <w:b/>
          <w:bCs/>
          <w:iCs/>
          <w:szCs w:val="24"/>
          <w:vertAlign w:val="superscript"/>
        </w:rPr>
        <w:t>3</w:t>
      </w:r>
    </w:p>
    <w:p w14:paraId="391A5A9E" w14:textId="70A2B02B" w:rsidR="00AA00F8" w:rsidRPr="0050338D" w:rsidRDefault="00F33AA6" w:rsidP="00AA00F8">
      <w:pPr>
        <w:jc w:val="center"/>
        <w:rPr>
          <w:iCs/>
          <w:szCs w:val="24"/>
          <w:lang w:val="id-ID"/>
        </w:rPr>
      </w:pPr>
      <w:r w:rsidRPr="00F33AA6">
        <w:rPr>
          <w:iCs/>
          <w:szCs w:val="24"/>
        </w:rPr>
        <w:t>Department of Civil Engineering and Planning, Faculty of Engineering</w:t>
      </w:r>
      <w:r w:rsidR="00971CCE" w:rsidRPr="00971CCE">
        <w:rPr>
          <w:iCs/>
          <w:szCs w:val="24"/>
        </w:rPr>
        <w:t xml:space="preserve">, </w:t>
      </w:r>
      <w:r>
        <w:rPr>
          <w:iCs/>
          <w:szCs w:val="24"/>
        </w:rPr>
        <w:t>Universitas Negeri Makassar</w:t>
      </w:r>
      <w:r w:rsidR="00AA00F8" w:rsidRPr="0050338D">
        <w:rPr>
          <w:iCs/>
          <w:szCs w:val="24"/>
        </w:rPr>
        <w:t>, Indonesia</w:t>
      </w:r>
    </w:p>
    <w:p w14:paraId="415F7574" w14:textId="04A19896" w:rsidR="00AA00F8" w:rsidRPr="00DE223B" w:rsidRDefault="00AA00F8" w:rsidP="00AA00F8">
      <w:pPr>
        <w:jc w:val="center"/>
        <w:rPr>
          <w:color w:val="000000"/>
          <w:sz w:val="22"/>
          <w:vertAlign w:val="superscript"/>
          <w:lang w:val="en-US"/>
        </w:rPr>
      </w:pPr>
      <w:r w:rsidRPr="0050338D">
        <w:rPr>
          <w:iCs/>
          <w:szCs w:val="24"/>
        </w:rPr>
        <w:t>Email:</w:t>
      </w:r>
      <w:hyperlink r:id="rId8" w:history="1"/>
      <w:r w:rsidR="00E4220C">
        <w:rPr>
          <w:rStyle w:val="Hyperlink"/>
          <w:iCs/>
          <w:szCs w:val="24"/>
        </w:rPr>
        <w:t xml:space="preserve"> </w:t>
      </w:r>
      <w:r w:rsidR="00F33AA6" w:rsidRPr="00F33AA6">
        <w:rPr>
          <w:rStyle w:val="Hyperlink"/>
          <w:iCs/>
          <w:szCs w:val="24"/>
        </w:rPr>
        <w:t>moeh.asnur@unm.ac.id</w:t>
      </w:r>
    </w:p>
    <w:p w14:paraId="028F341B" w14:textId="226B2BE2" w:rsidR="008A070C" w:rsidRPr="00DE223B" w:rsidRDefault="00E4220C" w:rsidP="008A070C">
      <w:pPr>
        <w:jc w:val="center"/>
        <w:rPr>
          <w:color w:val="000000"/>
          <w:sz w:val="22"/>
          <w:vertAlign w:val="superscript"/>
          <w:lang w:val="en-US"/>
        </w:rPr>
      </w:pPr>
      <w:r>
        <w:rPr>
          <w:color w:val="000000"/>
          <w:sz w:val="22"/>
          <w:vertAlign w:val="superscript"/>
          <w:lang w:val="en-US"/>
        </w:rPr>
        <w:t xml:space="preserve"> </w:t>
      </w:r>
    </w:p>
    <w:p w14:paraId="4ACEA083" w14:textId="77777777" w:rsidR="002C638E" w:rsidRDefault="002C638E" w:rsidP="00E77E5B">
      <w:pPr>
        <w:jc w:val="center"/>
        <w:rPr>
          <w:color w:val="000000"/>
          <w:sz w:val="22"/>
          <w:vertAlign w:val="superscript"/>
          <w:lang w:val="en-US"/>
        </w:rPr>
      </w:pPr>
    </w:p>
    <w:p w14:paraId="73F09DFA" w14:textId="77777777" w:rsidR="000224F6" w:rsidRDefault="000224F6" w:rsidP="00A12941">
      <w:pPr>
        <w:jc w:val="center"/>
        <w:rPr>
          <w:color w:val="000000"/>
          <w:sz w:val="22"/>
          <w:vertAlign w:val="superscript"/>
          <w:lang w:val="en-US"/>
        </w:rPr>
      </w:pPr>
    </w:p>
    <w:p w14:paraId="70E96F3C" w14:textId="23E88853" w:rsidR="0004797C" w:rsidRDefault="003D0A5F" w:rsidP="0004797C">
      <w:pPr>
        <w:pStyle w:val="Footer"/>
        <w:ind w:left="1134"/>
        <w:rPr>
          <w:color w:val="000000"/>
          <w:sz w:val="20"/>
          <w:szCs w:val="20"/>
        </w:rPr>
      </w:pPr>
      <w:r>
        <w:rPr>
          <w:noProof/>
          <w:color w:val="000000"/>
        </w:rPr>
        <w:drawing>
          <wp:anchor distT="0" distB="0" distL="114300" distR="114300" simplePos="0" relativeHeight="251657728" behindDoc="0" locked="0" layoutInCell="1" allowOverlap="1" wp14:anchorId="6D4E4F2A" wp14:editId="535FF937">
            <wp:simplePos x="0" y="0"/>
            <wp:positionH relativeFrom="column">
              <wp:posOffset>53340</wp:posOffset>
            </wp:positionH>
            <wp:positionV relativeFrom="paragraph">
              <wp:posOffset>32385</wp:posOffset>
            </wp:positionV>
            <wp:extent cx="657225" cy="231775"/>
            <wp:effectExtent l="0" t="0" r="0" b="0"/>
            <wp:wrapNone/>
            <wp:docPr id="10" name="Picture 10"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icens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5722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97C">
        <w:rPr>
          <w:color w:val="000000"/>
          <w:sz w:val="20"/>
          <w:szCs w:val="20"/>
        </w:rPr>
        <w:t xml:space="preserve">This is an open access article distributed under the Creative Commons Attribution License </w:t>
      </w:r>
    </w:p>
    <w:p w14:paraId="465D54E5" w14:textId="3700BDE9" w:rsidR="002A7721" w:rsidRDefault="0004797C" w:rsidP="0004797C">
      <w:pPr>
        <w:pStyle w:val="Footer"/>
        <w:ind w:left="1134"/>
        <w:rPr>
          <w:color w:val="000000"/>
          <w:sz w:val="20"/>
          <w:szCs w:val="20"/>
        </w:rPr>
      </w:pPr>
      <w:r>
        <w:rPr>
          <w:color w:val="000000"/>
          <w:sz w:val="20"/>
          <w:szCs w:val="20"/>
        </w:rPr>
        <w:t>CC-BY-NC-4.0 ©202</w:t>
      </w:r>
      <w:r w:rsidR="00AA00F8">
        <w:rPr>
          <w:color w:val="000000"/>
          <w:sz w:val="20"/>
          <w:szCs w:val="20"/>
        </w:rPr>
        <w:t>3</w:t>
      </w:r>
      <w:r>
        <w:rPr>
          <w:color w:val="000000"/>
          <w:sz w:val="20"/>
          <w:szCs w:val="20"/>
        </w:rPr>
        <w:t xml:space="preserve"> by author (https://creativecommons.org/licenses/by-nc/4.0/)</w:t>
      </w:r>
    </w:p>
    <w:p w14:paraId="058EB807" w14:textId="77777777" w:rsidR="002A7721" w:rsidRDefault="002A7721" w:rsidP="005431FB">
      <w:pPr>
        <w:pStyle w:val="NoSpacing"/>
        <w:pBdr>
          <w:bottom w:val="double" w:sz="4" w:space="1" w:color="auto"/>
        </w:pBdr>
        <w:spacing w:after="120"/>
        <w:jc w:val="center"/>
        <w:rPr>
          <w:rFonts w:ascii="Times New Roman" w:hAnsi="Times New Roman"/>
          <w:color w:val="000000"/>
          <w:sz w:val="20"/>
          <w:szCs w:val="20"/>
          <w:lang w:val="en-US"/>
        </w:rPr>
      </w:pPr>
      <w:r>
        <w:rPr>
          <w:rFonts w:ascii="Times New Roman" w:hAnsi="Times New Roman"/>
          <w:color w:val="000000"/>
          <w:sz w:val="20"/>
          <w:szCs w:val="20"/>
          <w:lang w:val="en-US"/>
        </w:rPr>
        <w:t xml:space="preserve">   </w:t>
      </w:r>
    </w:p>
    <w:p w14:paraId="4F36880F" w14:textId="77777777" w:rsidR="00B4538F" w:rsidRDefault="00B4538F" w:rsidP="00B4538F">
      <w:pPr>
        <w:pStyle w:val="ListParagraph"/>
        <w:shd w:val="clear" w:color="auto" w:fill="FFFFFF"/>
        <w:tabs>
          <w:tab w:val="left" w:pos="709"/>
        </w:tabs>
        <w:ind w:left="0"/>
        <w:jc w:val="center"/>
        <w:rPr>
          <w:b/>
          <w:color w:val="000000"/>
          <w:sz w:val="20"/>
          <w:szCs w:val="20"/>
          <w:lang w:val="en-US"/>
        </w:rPr>
      </w:pPr>
    </w:p>
    <w:p w14:paraId="7A0E8508" w14:textId="77777777" w:rsidR="00726138" w:rsidRDefault="00726138" w:rsidP="00726138">
      <w:pPr>
        <w:spacing w:line="259" w:lineRule="auto"/>
        <w:ind w:right="2"/>
        <w:jc w:val="center"/>
        <w:rPr>
          <w:color w:val="000000"/>
        </w:rPr>
      </w:pPr>
      <w:r>
        <w:rPr>
          <w:b/>
          <w:color w:val="000000"/>
          <w:sz w:val="20"/>
        </w:rPr>
        <w:t xml:space="preserve">ABSTRACT </w:t>
      </w:r>
    </w:p>
    <w:p w14:paraId="1A127F17" w14:textId="77777777" w:rsidR="00726138" w:rsidRDefault="00726138" w:rsidP="004705FD">
      <w:pPr>
        <w:spacing w:line="259" w:lineRule="auto"/>
        <w:ind w:left="2"/>
        <w:jc w:val="both"/>
        <w:rPr>
          <w:iCs/>
          <w:color w:val="000000"/>
          <w:sz w:val="8"/>
          <w:szCs w:val="8"/>
        </w:rPr>
      </w:pPr>
      <w:r>
        <w:rPr>
          <w:iCs/>
          <w:color w:val="000000"/>
          <w:sz w:val="20"/>
          <w:szCs w:val="20"/>
        </w:rPr>
        <w:t xml:space="preserve"> </w:t>
      </w:r>
    </w:p>
    <w:p w14:paraId="679D8C27" w14:textId="77777777" w:rsidR="002047F1" w:rsidRPr="002047F1" w:rsidRDefault="002047F1" w:rsidP="002047F1">
      <w:pPr>
        <w:spacing w:after="120"/>
        <w:ind w:firstLine="14"/>
        <w:jc w:val="both"/>
        <w:rPr>
          <w:color w:val="000000"/>
          <w:sz w:val="20"/>
          <w:szCs w:val="20"/>
        </w:rPr>
      </w:pPr>
    </w:p>
    <w:p w14:paraId="52A26082" w14:textId="0B246AA4" w:rsidR="005D1BB7" w:rsidRPr="005D1BB7" w:rsidRDefault="002047F1" w:rsidP="002047F1">
      <w:pPr>
        <w:spacing w:after="120"/>
        <w:ind w:firstLine="14"/>
        <w:jc w:val="both"/>
        <w:rPr>
          <w:color w:val="000000"/>
          <w:sz w:val="20"/>
          <w:szCs w:val="20"/>
        </w:rPr>
      </w:pPr>
      <w:r w:rsidRPr="002047F1">
        <w:rPr>
          <w:color w:val="000000"/>
          <w:sz w:val="20"/>
          <w:szCs w:val="20"/>
        </w:rPr>
        <w:t>Sedimentation in aquatic environments often occurs due to the presence of a high supply of sediment in that environment. Oceanographic factors, such as currents, play a significant role in the mechanism of sediment dispersion. The results of excavation processes that generate a significant amount of sediment often become unused waste. In this research, we strive to utilize the sand found in this sediment as a substitute for fine aggregates in concrete mixtures. Experimental testing methods are used to evaluate the characteristics of sediment that can be used as a substitute for fine aggregates.</w:t>
      </w:r>
      <w:r>
        <w:rPr>
          <w:color w:val="000000"/>
          <w:sz w:val="20"/>
          <w:szCs w:val="20"/>
        </w:rPr>
        <w:t xml:space="preserve"> </w:t>
      </w:r>
      <w:r w:rsidRPr="002047F1">
        <w:rPr>
          <w:color w:val="000000"/>
          <w:sz w:val="20"/>
          <w:szCs w:val="20"/>
        </w:rPr>
        <w:t>The research findings indicate that the sediment contains a high clay content, specifically 14.08%. We also found that concrete mixtures using 50% sediment sand from the Bili-Bili Reservoir had the highest compressive strength, reaching 17.36 MPa. However, the addition of Bili-Bili sediment sand to concrete mixtures resulted in a decrease in compressive strength. The greater the addition of Bili-Bili sediment sand, the lower the compressive strength.</w:t>
      </w:r>
      <w:r>
        <w:rPr>
          <w:color w:val="000000"/>
          <w:sz w:val="20"/>
          <w:szCs w:val="20"/>
        </w:rPr>
        <w:t xml:space="preserve"> </w:t>
      </w:r>
      <w:r w:rsidRPr="002047F1">
        <w:rPr>
          <w:color w:val="000000"/>
          <w:sz w:val="20"/>
          <w:szCs w:val="20"/>
        </w:rPr>
        <w:t>These findings emphasize the importance of testing materials to be used in concrete construction, especially aggregates, to meet all established requirements. By utilizing sediment as an alternative resource for fine aggregates, it can help reduce waste and consider public administration aspects in the management of sediment materials in the Bili-Bili Reservoir.</w:t>
      </w:r>
    </w:p>
    <w:p w14:paraId="3A5D3C2F" w14:textId="67E11787" w:rsidR="00885A5F" w:rsidRPr="00E141B8" w:rsidRDefault="00885A5F" w:rsidP="00AA00F8">
      <w:pPr>
        <w:rPr>
          <w:color w:val="000000"/>
          <w:sz w:val="20"/>
          <w:szCs w:val="20"/>
        </w:rPr>
      </w:pPr>
      <w:r>
        <w:rPr>
          <w:b/>
          <w:color w:val="000000"/>
          <w:sz w:val="20"/>
          <w:szCs w:val="20"/>
        </w:rPr>
        <w:t xml:space="preserve">Keywords: </w:t>
      </w:r>
      <w:r w:rsidR="002047F1" w:rsidRPr="002047F1">
        <w:rPr>
          <w:color w:val="000000"/>
          <w:sz w:val="20"/>
          <w:szCs w:val="20"/>
        </w:rPr>
        <w:t>Sediment Material</w:t>
      </w:r>
      <w:r w:rsidR="002047F1">
        <w:rPr>
          <w:color w:val="000000"/>
          <w:sz w:val="20"/>
          <w:szCs w:val="20"/>
        </w:rPr>
        <w:t xml:space="preserve">; </w:t>
      </w:r>
      <w:r w:rsidR="002047F1" w:rsidRPr="002047F1">
        <w:rPr>
          <w:color w:val="000000"/>
          <w:sz w:val="20"/>
          <w:szCs w:val="20"/>
        </w:rPr>
        <w:t>Public Administration</w:t>
      </w:r>
      <w:r w:rsidR="002047F1">
        <w:rPr>
          <w:color w:val="000000"/>
          <w:sz w:val="20"/>
          <w:szCs w:val="20"/>
        </w:rPr>
        <w:t xml:space="preserve">; </w:t>
      </w:r>
      <w:r w:rsidR="008D14D5" w:rsidRPr="008D14D5">
        <w:rPr>
          <w:color w:val="000000"/>
          <w:sz w:val="20"/>
          <w:szCs w:val="20"/>
        </w:rPr>
        <w:t>Fine aggregate, Concrete mixture</w:t>
      </w:r>
    </w:p>
    <w:p w14:paraId="25DAB290" w14:textId="77777777" w:rsidR="005431FB" w:rsidRDefault="005431FB" w:rsidP="005431FB">
      <w:pPr>
        <w:widowControl w:val="0"/>
        <w:pBdr>
          <w:bottom w:val="double" w:sz="4" w:space="1" w:color="auto"/>
        </w:pBdr>
        <w:autoSpaceDE w:val="0"/>
        <w:autoSpaceDN w:val="0"/>
        <w:spacing w:before="160"/>
        <w:jc w:val="both"/>
        <w:rPr>
          <w:color w:val="000000"/>
          <w:sz w:val="2"/>
          <w:szCs w:val="2"/>
        </w:rPr>
      </w:pPr>
    </w:p>
    <w:p w14:paraId="52010FD5" w14:textId="77777777" w:rsidR="00F73537" w:rsidRDefault="00F73537" w:rsidP="00A12941">
      <w:pPr>
        <w:pStyle w:val="Heading1"/>
        <w:jc w:val="both"/>
        <w:rPr>
          <w:rFonts w:ascii="Times New Roman" w:hAnsi="Times New Roman"/>
          <w:color w:val="000000"/>
          <w:sz w:val="24"/>
          <w:szCs w:val="24"/>
        </w:rPr>
      </w:pPr>
    </w:p>
    <w:p w14:paraId="7DC04D00" w14:textId="79E9C4E5" w:rsidR="00971CCE" w:rsidRPr="00971CCE" w:rsidRDefault="00971CCE" w:rsidP="00971CCE">
      <w:pPr>
        <w:ind w:right="88"/>
        <w:jc w:val="both"/>
        <w:rPr>
          <w:b/>
          <w:bCs/>
          <w:color w:val="000000" w:themeColor="text1"/>
          <w:szCs w:val="24"/>
        </w:rPr>
      </w:pPr>
      <w:r w:rsidRPr="00971CCE">
        <w:rPr>
          <w:b/>
          <w:bCs/>
          <w:color w:val="000000" w:themeColor="text1"/>
          <w:szCs w:val="24"/>
        </w:rPr>
        <w:t>INTRODUCTION</w:t>
      </w:r>
    </w:p>
    <w:p w14:paraId="18337A4F" w14:textId="77777777" w:rsidR="00971CCE" w:rsidRPr="00971CCE" w:rsidRDefault="00971CCE" w:rsidP="00971CCE">
      <w:pPr>
        <w:ind w:right="88"/>
        <w:jc w:val="both"/>
        <w:rPr>
          <w:color w:val="000000" w:themeColor="text1"/>
          <w:szCs w:val="24"/>
        </w:rPr>
      </w:pPr>
    </w:p>
    <w:p w14:paraId="0706FED3" w14:textId="77777777" w:rsidR="00FF06AD" w:rsidRPr="00FF06AD" w:rsidRDefault="00FF06AD" w:rsidP="005B0507">
      <w:pPr>
        <w:pStyle w:val="ListParagraph"/>
        <w:ind w:left="0" w:right="91" w:firstLine="567"/>
        <w:jc w:val="both"/>
        <w:rPr>
          <w:color w:val="000000" w:themeColor="text1"/>
          <w:sz w:val="22"/>
        </w:rPr>
      </w:pPr>
      <w:r w:rsidRPr="00FF06AD">
        <w:rPr>
          <w:color w:val="000000" w:themeColor="text1"/>
          <w:sz w:val="22"/>
        </w:rPr>
        <w:t>Aggregates are the most dominant component in concrete mixtures, accounting for approximately 70-75% of the total concrete volume. Therefore, the quality of aggregates significantly impacts the overall quality of concrete. Sand is one of the most commonly used types of aggregates in concrete mixtures, and its demand continues to rise with the growth of construction, while its supply diminishes. The limitation in the supply of natural sand has prompted the search for alternative substitutes in concrete mixtures.</w:t>
      </w:r>
    </w:p>
    <w:p w14:paraId="3DDC815A" w14:textId="31C83BAA" w:rsidR="00FF06AD" w:rsidRPr="00FF06AD" w:rsidRDefault="00FF06AD" w:rsidP="005B0507">
      <w:pPr>
        <w:pStyle w:val="ListParagraph"/>
        <w:ind w:left="0" w:right="91" w:firstLine="567"/>
        <w:jc w:val="both"/>
        <w:rPr>
          <w:color w:val="000000" w:themeColor="text1"/>
          <w:sz w:val="22"/>
        </w:rPr>
      </w:pPr>
      <w:r w:rsidRPr="00FF06AD">
        <w:rPr>
          <w:color w:val="000000" w:themeColor="text1"/>
          <w:sz w:val="22"/>
        </w:rPr>
        <w:lastRenderedPageBreak/>
        <w:t>In this context, we are examining the use of sediment waste as an alternative substitute for sand in concrete mixtures. The sustainability of using natural sand has become increasingly important, and seeking alternative resources such as sediment can provide a solution to the sand crisis</w:t>
      </w:r>
      <w:r w:rsidR="001C3741">
        <w:rPr>
          <w:color w:val="000000" w:themeColor="text1"/>
          <w:sz w:val="22"/>
        </w:rPr>
        <w:t xml:space="preserve"> </w:t>
      </w:r>
      <w:r w:rsidR="001C3741">
        <w:rPr>
          <w:color w:val="000000" w:themeColor="text1"/>
          <w:sz w:val="22"/>
        </w:rPr>
        <w:fldChar w:fldCharType="begin" w:fldLock="1"/>
      </w:r>
      <w:r w:rsidR="00B10561">
        <w:rPr>
          <w:color w:val="000000" w:themeColor="text1"/>
          <w:sz w:val="22"/>
        </w:rPr>
        <w:instrText>ADDIN CSL_CITATION {"citationItems":[{"id":"ITEM-1","itemData":{"DOI":"https://doi.org/10.1016/j.indmarman.2017.08.009","ISSN":"0019-8501","abstract":"This paper examines the impact of digitalization - the adoption of Internet-connected digital technologies and applications by companies - on B2B exchanges. While B2C exchanges are the subject of numerous studies on the transformations brought by the digital technologies, B2B exchanges are far less analyzed. Building on a conceptualization of exchanges between companies as made of activity links, resource ties, and actor bonds, this paper offers to identify three types of “digitalization” according to the nature of the most deeply impacted link. Five cases of digitization in different industrial sectors and five companies providing digital solutions for businesses illustrate these three types. This typology provides an alternative to analyses based on the nature of digital systems used by B2B companies.","author":[{"dropping-particle":"","family":"Pagani","given":"Margherita","non-dropping-particle":"","parse-names":false,"suffix":""},{"dropping-particle":"","family":"Pardo","given":"Catherine","non-dropping-particle":"","parse-names":false,"suffix":""}],"container-title":"Industrial Marketing Management","id":"ITEM-1","issued":{"date-parts":[["2017"]]},"page":"185-192","title":"The impact of digital technology on relationships in a business network","type":"article-journal","volume":"67"},"uris":["http://www.mendeley.com/documents/?uuid=3c54b5bf-f838-4510-94ea-07eb0ef1f1de"]},{"id":"ITEM-2","itemData":{"DOI":"10.1177/00910260221098189","ISSN":"19457421","abstract":"This study aims to identify how the access to training and development opportunities influence rates of work engagement in the U.S. federal workforce. Organizations with high rates of work engagement tend to be happier and more efficient than those with lower rates of work engagement. Studies have evidenced that organizational and managerial characteristics can promote work engagement among employees. Through the lens of high-performance work systems and the job demands-resource theory, access to training and development is used as both a high-performance work practice and a job resource to explore its effect on work engagement. Data were drawn from the 2017 Federal Employee Viewpoint Survey, a nationally representative sample of U.S. federal employees. By employing ordinary least squares analyses, this study shows that there is a positive correlation between having access to training and development opportunities and higher rates of work engagement across the federal workforce.","author":[{"dropping-particle":"","family":"Hassett","given":"Michael P.","non-dropping-particle":"","parse-names":false,"suffix":""}],"container-title":"Public Personnel Management","id":"ITEM-2","issue":"3","issued":{"date-parts":[["2022"]]},"page":"380-404","title":"The Effect of Access to Training and Development Opportunities, on Rates of Work Engagement, Within the U.S. Federal Workforce","type":"article-journal","volume":"51"},"uris":["http://www.mendeley.com/documents/?uuid=642c3aae-87ae-4a7f-9fcb-d2457ed909a0"]}],"mendeley":{"formattedCitation":"(Hassett, 2022; Pagani &amp; Pardo, 2017)","plainTextFormattedCitation":"(Hassett, 2022; Pagani &amp; Pardo, 2017)","previouslyFormattedCitation":"(Hassett, 2022; Pagani &amp; Pardo, 2017)"},"properties":{"noteIndex":0},"schema":"https://github.com/citation-style-language/schema/raw/master/csl-citation.json"}</w:instrText>
      </w:r>
      <w:r w:rsidR="001C3741">
        <w:rPr>
          <w:color w:val="000000" w:themeColor="text1"/>
          <w:sz w:val="22"/>
        </w:rPr>
        <w:fldChar w:fldCharType="separate"/>
      </w:r>
      <w:r w:rsidR="001C3741" w:rsidRPr="001C3741">
        <w:rPr>
          <w:noProof/>
          <w:color w:val="000000" w:themeColor="text1"/>
          <w:sz w:val="22"/>
        </w:rPr>
        <w:t>(Hassett, 2022; Pagani &amp; Pardo, 2017)</w:t>
      </w:r>
      <w:r w:rsidR="001C3741">
        <w:rPr>
          <w:color w:val="000000" w:themeColor="text1"/>
          <w:sz w:val="22"/>
        </w:rPr>
        <w:fldChar w:fldCharType="end"/>
      </w:r>
      <w:r w:rsidRPr="00FF06AD">
        <w:rPr>
          <w:color w:val="000000" w:themeColor="text1"/>
          <w:sz w:val="22"/>
        </w:rPr>
        <w:t>.</w:t>
      </w:r>
    </w:p>
    <w:p w14:paraId="77313352" w14:textId="77777777" w:rsidR="00FF06AD" w:rsidRPr="00FF06AD" w:rsidRDefault="00FF06AD" w:rsidP="005B0507">
      <w:pPr>
        <w:pStyle w:val="ListParagraph"/>
        <w:ind w:left="0" w:right="91" w:firstLine="567"/>
        <w:jc w:val="both"/>
        <w:rPr>
          <w:color w:val="000000" w:themeColor="text1"/>
          <w:sz w:val="22"/>
        </w:rPr>
      </w:pPr>
      <w:r w:rsidRPr="00FF06AD">
        <w:rPr>
          <w:color w:val="000000" w:themeColor="text1"/>
          <w:sz w:val="22"/>
        </w:rPr>
        <w:t>The increasing sedimentation in the Bili-Bili Reservoir is an urgent issue that has led to siltation within the reservoir. This siltation poses a threat to the reservoir's lifespan and can jeopardize its primary functions. According to the report by the Bili-Bili Multipurpose Dam Project, prepared by CTI Engineering Co. LTD in collaboration with PT. Indra Karya and PT. Exsa International in February 1988, the sedimentation rate in the Bili-Bili Reservoir is estimated to be 1.5 mm per year, with a total sedimentation volume over the planned reservoir lifespan (50 years) of approximately 29 million m3. Therefore, effective measures are needed to manage this sedimentation issue.</w:t>
      </w:r>
    </w:p>
    <w:p w14:paraId="279D87C0" w14:textId="77777777" w:rsidR="00FF06AD" w:rsidRPr="00FF06AD" w:rsidRDefault="00FF06AD" w:rsidP="005B0507">
      <w:pPr>
        <w:pStyle w:val="ListParagraph"/>
        <w:ind w:left="0" w:right="91" w:firstLine="567"/>
        <w:jc w:val="both"/>
        <w:rPr>
          <w:color w:val="000000" w:themeColor="text1"/>
          <w:sz w:val="22"/>
        </w:rPr>
      </w:pPr>
      <w:r w:rsidRPr="00FF06AD">
        <w:rPr>
          <w:color w:val="000000" w:themeColor="text1"/>
          <w:sz w:val="22"/>
        </w:rPr>
        <w:t>The Bili-Bili Reservoir is located approximately 30 km east of Makassar City and 31 km from the mouth of the Jeneberang River, with geographic coordinates of 5°15' S latitude and 119°37' E longitude. The reservoir impounds the Jeneberang River in the Bili-Bili Village, Bontomarannu Subdistrict, and partially inundates the Moncongloe Village in the Manuju Subdistrict and the Bontoparang Village in the Parangloe Subdistrict, all within the Gowa Regency of South Sulawesi Province.</w:t>
      </w:r>
    </w:p>
    <w:p w14:paraId="42B58863" w14:textId="77777777" w:rsidR="00FF06AD" w:rsidRPr="00FF06AD" w:rsidRDefault="00FF06AD" w:rsidP="005B0507">
      <w:pPr>
        <w:pStyle w:val="ListParagraph"/>
        <w:ind w:left="0" w:right="91" w:firstLine="567"/>
        <w:jc w:val="both"/>
        <w:rPr>
          <w:color w:val="000000" w:themeColor="text1"/>
          <w:sz w:val="22"/>
        </w:rPr>
      </w:pPr>
      <w:r w:rsidRPr="00FF06AD">
        <w:rPr>
          <w:color w:val="000000" w:themeColor="text1"/>
          <w:sz w:val="22"/>
        </w:rPr>
        <w:t>Several previous studies have also examined sedimentation issues in other reservoirs. For instance, the use of echosounders during the period of 2012-2016 revealed a decrease in volume in the Cacaban Reservoir of approximately 668,244.50 m3, indicating significant sediment deposition and siltation. Various types of sediments were identified, including sand, silt, and clay in the Teluk Awur waters. Analysis of sediment distribution maps using the Universal Soil Loss Equation (USLE) method resulted in a sedimentation rate of 492.34 m3 per year, while direct measurement methods yielded a rate of 435.38 m3 per year. A sedimentation study of the Sermo Reservoir using the USLE method indicated a sedimentation rate of 380,837 tons per year or approximately 141,047 m3 per year, with a reservoir service life of approximately 29.28 years.</w:t>
      </w:r>
    </w:p>
    <w:p w14:paraId="2225408F" w14:textId="6E82E73D" w:rsidR="00971CCE" w:rsidRPr="00971CCE" w:rsidRDefault="00FF06AD" w:rsidP="005B0507">
      <w:pPr>
        <w:pStyle w:val="ListParagraph"/>
        <w:ind w:left="0" w:right="91" w:firstLine="567"/>
        <w:jc w:val="both"/>
        <w:rPr>
          <w:color w:val="000000" w:themeColor="text1"/>
          <w:sz w:val="22"/>
        </w:rPr>
      </w:pPr>
      <w:r w:rsidRPr="00FF06AD">
        <w:rPr>
          <w:color w:val="000000" w:themeColor="text1"/>
          <w:sz w:val="22"/>
        </w:rPr>
        <w:t>With the significant siltation problem and the abundance of sediment waste generated, we hope to utilize the sand content within the sediment as a substitute for fine aggregates in concrete mixtures. Thus, we aim to create environmentally-friendly concrete, reduce resource wastage, and generate economic value from waste, all of which can be valuable alternatives for enhancing concrete strength. Through a public administration approach, the management and implementation of these alternatives can be part of a sustainable solution to address this challenge.</w:t>
      </w:r>
    </w:p>
    <w:p w14:paraId="0A2A7236" w14:textId="77777777" w:rsidR="00971CCE" w:rsidRPr="004261C8" w:rsidRDefault="00971CCE" w:rsidP="00971CCE">
      <w:pPr>
        <w:pStyle w:val="ListParagraph"/>
        <w:ind w:left="0" w:right="88" w:firstLine="567"/>
        <w:jc w:val="both"/>
        <w:rPr>
          <w:color w:val="000000" w:themeColor="text1"/>
          <w:szCs w:val="24"/>
        </w:rPr>
      </w:pPr>
    </w:p>
    <w:p w14:paraId="196C474E" w14:textId="1A14F3F7" w:rsidR="00971CCE" w:rsidRPr="004261C8" w:rsidRDefault="00971CCE" w:rsidP="00971CCE">
      <w:pPr>
        <w:pStyle w:val="ListParagraph"/>
        <w:ind w:left="0" w:right="88"/>
        <w:jc w:val="both"/>
        <w:rPr>
          <w:color w:val="000000" w:themeColor="text1"/>
          <w:szCs w:val="24"/>
        </w:rPr>
      </w:pPr>
      <w:r w:rsidRPr="004261C8">
        <w:rPr>
          <w:b/>
          <w:bCs/>
          <w:color w:val="000000" w:themeColor="text1"/>
          <w:szCs w:val="24"/>
          <w:lang w:val="id-ID"/>
        </w:rPr>
        <w:t>METHOD</w:t>
      </w:r>
    </w:p>
    <w:p w14:paraId="4F991894" w14:textId="77777777" w:rsidR="00FF06AD" w:rsidRDefault="00FF06AD" w:rsidP="00FF06AD">
      <w:pPr>
        <w:widowControl w:val="0"/>
        <w:autoSpaceDE w:val="0"/>
        <w:autoSpaceDN w:val="0"/>
        <w:adjustRightInd w:val="0"/>
        <w:ind w:right="88" w:firstLine="567"/>
        <w:jc w:val="both"/>
        <w:rPr>
          <w:color w:val="000000" w:themeColor="text1"/>
          <w:sz w:val="22"/>
        </w:rPr>
      </w:pPr>
    </w:p>
    <w:p w14:paraId="4B14CEBB" w14:textId="2E2EAC6A" w:rsidR="00971CCE" w:rsidRPr="00971CCE" w:rsidRDefault="00FF06AD" w:rsidP="00FF06AD">
      <w:pPr>
        <w:widowControl w:val="0"/>
        <w:autoSpaceDE w:val="0"/>
        <w:autoSpaceDN w:val="0"/>
        <w:adjustRightInd w:val="0"/>
        <w:ind w:right="88" w:firstLine="567"/>
        <w:jc w:val="both"/>
        <w:rPr>
          <w:color w:val="000000" w:themeColor="text1"/>
          <w:sz w:val="22"/>
        </w:rPr>
      </w:pPr>
      <w:r w:rsidRPr="00FF06AD">
        <w:rPr>
          <w:color w:val="000000" w:themeColor="text1"/>
          <w:sz w:val="22"/>
        </w:rPr>
        <w:t>Experimental testing of sediment characteristics that can be utilized as a substitute for fine aggregates. This research begins with the collection of samples from the upper Bili-Bili Reservoir, followed by testing the sediment's characteristics. Subsequently, concrete compressive strength tests are conducted using sediment as a substitute for fine aggregates.</w:t>
      </w:r>
      <w:r>
        <w:rPr>
          <w:color w:val="000000" w:themeColor="text1"/>
          <w:sz w:val="22"/>
        </w:rPr>
        <w:t xml:space="preserve"> </w:t>
      </w:r>
      <w:r w:rsidRPr="00FF06AD">
        <w:rPr>
          <w:color w:val="000000" w:themeColor="text1"/>
          <w:sz w:val="22"/>
        </w:rPr>
        <w:t xml:space="preserve">The simulation testing will focus on aggregate examination methods conducted in accordance with Indonesian National Standards. At the end of the research, the potential utilization of sediment in the upper Bili-Bili Reservoir will be determined. These tests are conducted in the Material Testing Laboratory of the Department of Civil Engineering and Planning, located within the </w:t>
      </w:r>
      <w:r w:rsidRPr="00FF06AD">
        <w:rPr>
          <w:color w:val="000000" w:themeColor="text1"/>
          <w:sz w:val="22"/>
        </w:rPr>
        <w:lastRenderedPageBreak/>
        <w:t>Faculty of Engineering at Makassar State University. The laboratory is situated on Daeng Tata Raya Parang Tambung Street, Mannuruki, Tamalate Subdistrict, Makassar City, South Sulawesi.</w:t>
      </w:r>
      <w:r>
        <w:rPr>
          <w:color w:val="000000" w:themeColor="text1"/>
          <w:sz w:val="22"/>
        </w:rPr>
        <w:t xml:space="preserve"> </w:t>
      </w:r>
      <w:r w:rsidRPr="00FF06AD">
        <w:rPr>
          <w:color w:val="000000" w:themeColor="text1"/>
          <w:sz w:val="22"/>
        </w:rPr>
        <w:t>The material collection site at the Bili-Bili Dam is located 30 kilometers east of Makassar City along the Makassar-Malino main road, at the Jeneberang River in Bili-Bili Village, Parangloe Subdistrict, Gowa Regency, South Sulawesi Province.</w:t>
      </w:r>
    </w:p>
    <w:p w14:paraId="784BAB5B" w14:textId="77777777" w:rsidR="00971CCE" w:rsidRPr="004261C8" w:rsidRDefault="00971CCE" w:rsidP="00971CCE">
      <w:pPr>
        <w:widowControl w:val="0"/>
        <w:autoSpaceDE w:val="0"/>
        <w:autoSpaceDN w:val="0"/>
        <w:adjustRightInd w:val="0"/>
        <w:ind w:right="88"/>
        <w:jc w:val="both"/>
        <w:rPr>
          <w:color w:val="000000" w:themeColor="text1"/>
          <w:szCs w:val="24"/>
        </w:rPr>
      </w:pPr>
    </w:p>
    <w:p w14:paraId="09F9B095" w14:textId="77777777" w:rsidR="00971CCE" w:rsidRPr="004261C8" w:rsidRDefault="00971CCE" w:rsidP="00971CCE">
      <w:pPr>
        <w:widowControl w:val="0"/>
        <w:autoSpaceDE w:val="0"/>
        <w:autoSpaceDN w:val="0"/>
        <w:adjustRightInd w:val="0"/>
        <w:ind w:right="88"/>
        <w:jc w:val="both"/>
        <w:rPr>
          <w:color w:val="000000" w:themeColor="text1"/>
          <w:szCs w:val="24"/>
          <w:lang w:val="id-ID"/>
        </w:rPr>
      </w:pPr>
      <w:r w:rsidRPr="004261C8">
        <w:rPr>
          <w:b/>
          <w:bCs/>
          <w:color w:val="000000" w:themeColor="text1"/>
          <w:szCs w:val="24"/>
          <w:lang w:val="id-ID"/>
        </w:rPr>
        <w:t>RESULT AND DISCUSSION</w:t>
      </w:r>
      <w:r w:rsidRPr="004261C8">
        <w:rPr>
          <w:color w:val="000000" w:themeColor="text1"/>
          <w:szCs w:val="24"/>
          <w:lang w:val="id-ID"/>
        </w:rPr>
        <w:t xml:space="preserve"> </w:t>
      </w:r>
    </w:p>
    <w:p w14:paraId="3FD2F1B8" w14:textId="77777777" w:rsidR="00971CCE" w:rsidRPr="00B10561" w:rsidRDefault="00971CCE" w:rsidP="00971CCE">
      <w:pPr>
        <w:widowControl w:val="0"/>
        <w:autoSpaceDE w:val="0"/>
        <w:autoSpaceDN w:val="0"/>
        <w:adjustRightInd w:val="0"/>
        <w:spacing w:before="240"/>
        <w:ind w:right="88"/>
        <w:jc w:val="both"/>
        <w:rPr>
          <w:b/>
          <w:color w:val="000000" w:themeColor="text1"/>
          <w:sz w:val="22"/>
        </w:rPr>
      </w:pPr>
      <w:r w:rsidRPr="00B10561">
        <w:rPr>
          <w:b/>
          <w:color w:val="000000" w:themeColor="text1"/>
          <w:sz w:val="22"/>
        </w:rPr>
        <w:t>Result</w:t>
      </w:r>
    </w:p>
    <w:p w14:paraId="03F189A6" w14:textId="16EA6896" w:rsidR="00FF06AD" w:rsidRPr="00B10561" w:rsidRDefault="00FF06AD" w:rsidP="00FF06AD">
      <w:pPr>
        <w:widowControl w:val="0"/>
        <w:autoSpaceDE w:val="0"/>
        <w:autoSpaceDN w:val="0"/>
        <w:adjustRightInd w:val="0"/>
        <w:spacing w:before="240"/>
        <w:ind w:right="91" w:firstLine="567"/>
        <w:jc w:val="both"/>
        <w:rPr>
          <w:color w:val="000000" w:themeColor="text1"/>
          <w:sz w:val="22"/>
        </w:rPr>
      </w:pPr>
      <w:r w:rsidRPr="00B10561">
        <w:rPr>
          <w:color w:val="000000" w:themeColor="text1"/>
          <w:sz w:val="22"/>
        </w:rPr>
        <w:t>In this comprehensive research study, we aimed to evaluate the impact of using sediment material from the Upper Bili-Bili Reservoir as a substitute for fine aggregates in concrete construction. This investigation took into account the perspective of public administration, emphasizing the importance of sustainable resource management in the construction industry. Aggregates play a critical role in concrete production, constituting a dominant portion of the mixture, with fine aggregates accounting for a significant share. Given that fine aggregates, particularly sand, are in high demand for construction, their diminishing supply has led to a quest for alternative resources.</w:t>
      </w:r>
    </w:p>
    <w:p w14:paraId="15A96E76" w14:textId="568BE4F8" w:rsidR="00FF06AD" w:rsidRPr="00B10561" w:rsidRDefault="00FF06AD" w:rsidP="00FF06AD">
      <w:pPr>
        <w:widowControl w:val="0"/>
        <w:autoSpaceDE w:val="0"/>
        <w:autoSpaceDN w:val="0"/>
        <w:adjustRightInd w:val="0"/>
        <w:ind w:right="91" w:firstLine="567"/>
        <w:jc w:val="both"/>
        <w:rPr>
          <w:color w:val="000000" w:themeColor="text1"/>
          <w:sz w:val="22"/>
        </w:rPr>
      </w:pPr>
      <w:r w:rsidRPr="00B10561">
        <w:rPr>
          <w:color w:val="000000" w:themeColor="text1"/>
          <w:sz w:val="22"/>
        </w:rPr>
        <w:t>The Bili-Bili Reservoir, located in South Sulawesi, Indonesia, has been facing increasing sedimentation issues. The accumulation of sediment threatens the reservoir's longevity and its primary functions. To address this challenge, we explored the potential of utilizing sediment as a substitute for traditional fine aggregates in concrete. Our research commenced with the collection of sediment samples from the upper reaches of the Bili-Bili Reservoir. These samples were then subjected to rigorous testing to assess their suitability as a substitute for fine aggregates in concrete mixtures.</w:t>
      </w:r>
    </w:p>
    <w:p w14:paraId="5EE0D208" w14:textId="413F6EC1" w:rsidR="00FF06AD" w:rsidRPr="00B10561" w:rsidRDefault="00FF06AD" w:rsidP="00FF06AD">
      <w:pPr>
        <w:widowControl w:val="0"/>
        <w:autoSpaceDE w:val="0"/>
        <w:autoSpaceDN w:val="0"/>
        <w:adjustRightInd w:val="0"/>
        <w:ind w:right="91" w:firstLine="567"/>
        <w:jc w:val="both"/>
        <w:rPr>
          <w:color w:val="000000" w:themeColor="text1"/>
          <w:sz w:val="22"/>
        </w:rPr>
      </w:pPr>
      <w:r w:rsidRPr="00B10561">
        <w:rPr>
          <w:color w:val="000000" w:themeColor="text1"/>
          <w:sz w:val="22"/>
        </w:rPr>
        <w:t>One of the key aspects of our study was the evaluation of the compressive strength of concrete mixes incorporating sediment as a replacement for fine aggregates. This testing aimed to determine the structural integrity and performance of the concrete when sediment was used as a component. Throughout the research process, we adhered to Indonesian National Standards for aggregate examination procedures. This ensured that our testing and assessment methods were in line with established industry standards.</w:t>
      </w:r>
    </w:p>
    <w:p w14:paraId="07940BDE" w14:textId="6F722C99" w:rsidR="00FF06AD" w:rsidRPr="00B10561" w:rsidRDefault="00FF06AD" w:rsidP="00FF06AD">
      <w:pPr>
        <w:widowControl w:val="0"/>
        <w:autoSpaceDE w:val="0"/>
        <w:autoSpaceDN w:val="0"/>
        <w:adjustRightInd w:val="0"/>
        <w:ind w:right="91" w:firstLine="567"/>
        <w:jc w:val="both"/>
        <w:rPr>
          <w:color w:val="000000" w:themeColor="text1"/>
          <w:sz w:val="22"/>
        </w:rPr>
      </w:pPr>
      <w:r w:rsidRPr="00B10561">
        <w:rPr>
          <w:color w:val="000000" w:themeColor="text1"/>
          <w:sz w:val="22"/>
        </w:rPr>
        <w:t>Our study was conducted in the Material Testing Laboratory within the Department of Civil Engineering and Planning at Makassar State University. This well-equipped facility provided the necessary infrastructure for conducting precise and accurate tests. The collection site for the sediment material was strategically chosen near the Jeneberang River in Bili-Bili Village, Parangloe Subdistrict, Gowa Regency, South Sulawesi. This site was approximately 30 kilometers east of Makassar City. The research findings yielded valuable insights into the potential utilization of sediment material from the Upper Bili-Bili Reservoir in concrete production. This approach not only addresses the challenges of sedimentation but also contributes to more sustainable and environmentally friendly construction practices.</w:t>
      </w:r>
    </w:p>
    <w:p w14:paraId="2E4E2CCE" w14:textId="082A1113" w:rsidR="00FF06AD" w:rsidRPr="00B10561" w:rsidRDefault="00FF06AD" w:rsidP="00FF06AD">
      <w:pPr>
        <w:widowControl w:val="0"/>
        <w:autoSpaceDE w:val="0"/>
        <w:autoSpaceDN w:val="0"/>
        <w:adjustRightInd w:val="0"/>
        <w:ind w:right="91" w:firstLine="567"/>
        <w:jc w:val="both"/>
        <w:rPr>
          <w:color w:val="000000" w:themeColor="text1"/>
          <w:sz w:val="22"/>
        </w:rPr>
      </w:pPr>
      <w:r w:rsidRPr="00B10561">
        <w:rPr>
          <w:color w:val="000000" w:themeColor="text1"/>
          <w:sz w:val="22"/>
        </w:rPr>
        <w:t>Overall, this study represents an important step in exploring alternative resources for the construction industry from a public administration perspective. By considering the environmental and economic aspects of sediment utilization, we hope to contribute to more informed decision-making in the field of concrete construction, aligning with the principles of responsible resource management.</w:t>
      </w:r>
    </w:p>
    <w:p w14:paraId="17912C08" w14:textId="77777777" w:rsidR="00971CCE" w:rsidRPr="00B10561" w:rsidRDefault="00971CCE" w:rsidP="00971CCE">
      <w:pPr>
        <w:widowControl w:val="0"/>
        <w:autoSpaceDE w:val="0"/>
        <w:autoSpaceDN w:val="0"/>
        <w:adjustRightInd w:val="0"/>
        <w:spacing w:before="240"/>
        <w:ind w:right="88"/>
        <w:jc w:val="both"/>
        <w:rPr>
          <w:b/>
          <w:color w:val="000000" w:themeColor="text1"/>
          <w:sz w:val="22"/>
        </w:rPr>
      </w:pPr>
      <w:r w:rsidRPr="00B10561">
        <w:rPr>
          <w:b/>
          <w:color w:val="000000" w:themeColor="text1"/>
          <w:sz w:val="22"/>
        </w:rPr>
        <w:lastRenderedPageBreak/>
        <w:t>Discussion</w:t>
      </w:r>
    </w:p>
    <w:p w14:paraId="08E2C74C" w14:textId="37CD0B9C" w:rsidR="00FF06AD" w:rsidRPr="00B10561" w:rsidRDefault="00FF06AD" w:rsidP="00B10561">
      <w:pPr>
        <w:widowControl w:val="0"/>
        <w:autoSpaceDE w:val="0"/>
        <w:autoSpaceDN w:val="0"/>
        <w:adjustRightInd w:val="0"/>
        <w:spacing w:before="240"/>
        <w:ind w:right="88" w:firstLine="567"/>
        <w:jc w:val="both"/>
        <w:rPr>
          <w:color w:val="000000" w:themeColor="text1"/>
          <w:sz w:val="22"/>
        </w:rPr>
      </w:pPr>
      <w:r w:rsidRPr="00B10561">
        <w:rPr>
          <w:color w:val="000000" w:themeColor="text1"/>
          <w:sz w:val="22"/>
        </w:rPr>
        <w:t>In this comprehensive research study, our aim was to evaluate the impact of using sediment material from the Upper Bili-Bili Reservoir as a substitute for fine aggregates in concrete construction. This investigation considered the perspective of public administration, emphasizing the importance of sustainable resource management in the construction industry. The need for such research becomes evident when considering the increasing demand for construction materials, particularly fine aggregates, and the corresponding decline in their natural supply</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{"citationItems":[{"id":"ITEM-1","itemData":{"ISSN":"0021-9932","author":[{"dropping-particle":"","family":"Jones","given":"Garth N","non-dropping-particle":"","parse-names":false,"suffix":""}],"container-title":"Journal of Comparative Administration","id":"ITEM-1","issue":"1","issued":{"date-parts":[["1970"]]},"page":"3-51","publisher":"Sage Publications Sage CA: Thousand Oaks, CA","title":"Failure of Technical Assistance in Public Administration Abroad: A Personal Note","type":"article-journal","volume":"2"},"uris":["http://www.mendeley.com/documents/?uuid=46f5c40a-d9b6-430e-8735-9127bad6ab28"]},{"id":"ITEM-2","itemData":{"DOI":"10.1057/978-1-137-55269-3_2","abstract":"The chapter reviews the evolution of the state of the art of research in public administration and management in Europe since WWII. It argues that a pan-European community has developed, flanking and in many respects integrating the distinct national communities that characterised the field till the 1970s/1980s. After a bibliographical review of the main themes that catalyse the interest of PA scholars, it focuses on the most researched theme in Europe, namely public management reform. The ways in which the topic has been studied before, during and after the NPM ideological wave are examined by looking into country clusters across Europe: Germanic, Anglo-Saxon, Southern European, Nordic European, and Central-Eastern European. Concluding points include the theoretical importance of context in European research, and the profile of the European scholar.","author":[{"dropping-particle":"","family":"Byrkjeflot","given":"Haldor","non-dropping-particle":"","parse-names":false,"suffix":""},{"dropping-particle":"","family":"Gay","given":"Paul","non-dropping-particle":"du","parse-names":false,"suffix":""},{"dropping-particle":"","family":"Greve","given":"Carsten","non-dropping-particle":"","parse-names":false,"suffix":""}],"container-title":"The Palgrave handbook of public administration and management in Europe","id":"ITEM-2","issued":{"date-parts":[["2018"]]},"page":"991-1009","publisher":"Springer","title":"What is the ‘Neo-Weberian State’as a Regime of Public Administration?","type":"chapter"},"uris":["http://www.mendeley.com/documents/?uuid=bb4a828a-84dd-4574-a3c6-a10c1e62ddc7"]},{"id":"ITEM-3","itemData":{"DOI":"10.1080/12294659.2003.10805013","ISSN":"2331795","abstract":"Under evolving forms of governance, government will play a different role in the steering of society. Yet government will still be judged by legal and political criteria, economic and market criteria, and democratic and social criteria. The first of these was central to traditional public administration, the second is at the forefront of “the new public management,” and the third is central to “the new public service.” Here we outline the characteristics of the new public service and how its principles will guide future public administrators. © 2003 International Review of Public Administration.","author":[{"dropping-particle":"","family":"Denhardt","given":"Robert B.","non-dropping-particle":"","parse-names":false,"suffix":""},{"dropping-particle":"V.","family":"Denhardt","given":"Janet","non-dropping-particle":"","parse-names":false,"suffix":""}],"container-title":"International Review of Public Administration","id":"ITEM-3","issue":"1","issued":{"date-parts":[["2003"]]},"page":"3-10","title":"The new public service: An approach to reform","type":"article-journal","volume":"8"},"uris":["http://www.mendeley.com/documents/?uuid=653b4d6e-482b-461e-9742-40e441990c27"]}],"mendeley":{"formattedCitation":"(Byrkjeflot et al., 2018; Denhardt &amp; Denhardt, 2003; Jones, 1970)","plainTextFormattedCitation":"(Byrkjeflot et al., 2018; Denhardt &amp; Denhardt, 2003; Jones, 1970)","previouslyFormattedCitation":"(Byrkjeflot et al., 2018; Denhardt &amp; Denhardt, 2003; Jones, 1970)"},"properties":{"noteIndex":0},"schema":"https://github.com/citation-style-language/schema/raw/master/csl-citation.json"}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(Byrkjeflot et al., 2018; Denhardt &amp; Denhardt, 2003; Jones, 1970)</w:t>
      </w:r>
      <w:r w:rsidR="00B10561" w:rsidRPr="00B10561">
        <w:rPr>
          <w:color w:val="000000" w:themeColor="text1"/>
          <w:sz w:val="22"/>
        </w:rPr>
        <w:fldChar w:fldCharType="end"/>
      </w:r>
      <w:r w:rsidRPr="00B10561">
        <w:rPr>
          <w:color w:val="000000" w:themeColor="text1"/>
          <w:sz w:val="22"/>
        </w:rPr>
        <w:t xml:space="preserve">. This study aligns with the broader objective of promoting responsible resource management within the public administration domain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{"citationItems":[{"id":"ITEM-1","itemData":{"author":[{"dropping-particle":"","family":"Ziadi","given":"Ahmad Rizka","non-dropping-particle":"","parse-names":false,"suffix":""},{"dropping-particle":"","family":"Supriyono","given":"Bambang","non-dropping-particle":"","parse-names":false,"suffix":""},{"dropping-particle":"","family":"Wijaya","given":"Andy Fefta","non-dropping-particle":"","parse-names":false,"suffix":""}],"container-title":"Global Journal of Management and Business Research: A Administration and Management","id":"ITEM-1","issue":"8","issued":{"date-parts":[["2016"]]},"page":"53-57","title":"The Effectiveness of Information System in Public Complaint Service: An Implementation of E-Government based on Jakarta Smart City Applications","type":"article-journal","volume":"16"},"uris":["http://www.mendeley.com/documents/?uuid=a24fb641-2e23-47b8-aa5d-49e3aff7b3e6"]}],"mendeley":{"formattedCitation":"(Ziadi et al., 2016)","plainTextFormattedCitation":"(Ziadi et al., 2016)","previouslyFormattedCitation":"(Ziadi et al., 2016)"},"properties":{"noteIndex":0},"schema":"https://github.com/citation-style-language/schema/raw/master/csl-citation.json"}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(Ziadi et al., 2016)</w:t>
      </w:r>
      <w:r w:rsidR="00B10561" w:rsidRPr="00B10561">
        <w:rPr>
          <w:color w:val="000000" w:themeColor="text1"/>
          <w:sz w:val="22"/>
        </w:rPr>
        <w:fldChar w:fldCharType="end"/>
      </w:r>
      <w:r w:rsidRPr="00B10561">
        <w:rPr>
          <w:color w:val="000000" w:themeColor="text1"/>
          <w:sz w:val="22"/>
        </w:rPr>
        <w:t>. By exploring the viability of sediment as an alternative resource, we address not only the resource scarcity issue but also the environmental implications of aggregate extraction and transportation</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{"citationItems":[{"id":"ITEM-1","itemData":{"ISSN":"0308-518X","author":[{"dropping-particle":"","family":"Siemiatycki","given":"Matti","non-dropping-particle":"","parse-names":false,"suffix":""}],"container-title":"Environment and planning A","id":"ITEM-1","issue":"7","issued":{"date-parts":[["2011"]]},"page":"1707-1722","publisher":"SAGE Publications Sage UK: London, England","title":"Urban transportation public–private partnerships: drivers of uneven development?","type":"article-journal","volume":"43"},"uris":["http://www.mendeley.com/documents/?uuid=5173c968-f1d3-40fb-a829-0870d81736d5"]}],"mendeley":{"formattedCitation":"(Siemiatycki, 2011)","plainTextFormattedCitation":"(Siemiatycki, 2011)","previouslyFormattedCitation":"(Siemiatycki, 2011)"},"properties":{"noteIndex":0},"schema":"https://github.com/citation-style-language/schema/raw/master/csl-citation.json"}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(Siemiatycki, 2011)</w:t>
      </w:r>
      <w:r w:rsidR="00B10561" w:rsidRPr="00B10561">
        <w:rPr>
          <w:color w:val="000000" w:themeColor="text1"/>
          <w:sz w:val="22"/>
        </w:rPr>
        <w:fldChar w:fldCharType="end"/>
      </w:r>
      <w:r w:rsidRPr="00B10561">
        <w:rPr>
          <w:color w:val="000000" w:themeColor="text1"/>
          <w:sz w:val="22"/>
        </w:rPr>
        <w:t>.</w:t>
      </w:r>
    </w:p>
    <w:p w14:paraId="751EB823" w14:textId="2EA4CB70" w:rsidR="00FF06AD" w:rsidRPr="00B10561" w:rsidRDefault="00FF06AD" w:rsidP="00FF06AD">
      <w:pPr>
        <w:widowControl w:val="0"/>
        <w:autoSpaceDE w:val="0"/>
        <w:autoSpaceDN w:val="0"/>
        <w:adjustRightInd w:val="0"/>
        <w:ind w:right="88" w:firstLine="567"/>
        <w:jc w:val="both"/>
        <w:rPr>
          <w:color w:val="000000" w:themeColor="text1"/>
          <w:sz w:val="22"/>
        </w:rPr>
      </w:pPr>
      <w:r w:rsidRPr="00B10561">
        <w:rPr>
          <w:color w:val="000000" w:themeColor="text1"/>
          <w:sz w:val="22"/>
        </w:rPr>
        <w:t>Aggregates, as fundamental components of concrete, constitute a substantial portion of the mixture, with fine aggregates playing a crucial role. Fine aggregates, often sourced from natural sand deposits, have witnessed a surge in demand due to the continuous growth of the construction industry</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{"citationItems":[{"id":"ITEM-1","itemData":{"DOI":"https://doi.org/10.1016/j.resconrec.2019.104559","ISSN":"0921-3449","abstract":"Operations management is a core organizational function involved in the management of activities to produce and deliver products and services. Appropriate operations decisions rely on assessing and using information; a task made more challenging in the Big Data era. Effective management of data (big data analytics; BDA), along with staff capabilities (the talent capability in the use of big data) support firms to leverage big data analytics and organizational learning in support of sustainable supply chain management outcomes. The current study uses dynamic capability theory as a foundation for evaluating the role of BDA capability as an operational excellence approach in improving sustainable supply chain performance. We surveyed mining executives in the emerging economy of South Africa and received 520 valid responses (47% response rate). We used Partial Least Squares Structural Equation Modelling (PLS-SEM) to analyze the data. The findings show that big data analytics management capabilities have a strong and significant effect on innovative green product development and sustainable supply chain outcomes. Big data analytics talent capabilities have a weaker but still significant effect on employee development and sustainable supply chain outcomes. Innovation and learning performance affect sustainable supply chain performance, and supply chain innovativeness has an important moderating role. A contribution of the study is identifying two pathways that managers can use to improve sustainable supply chain outcomes in the mining industry, based on big data analytics capabilities.","author":[{"dropping-particle":"","family":"Bag","given":"Surajit","non-dropping-particle":"","parse-names":false,"suffix":""},{"dropping-particle":"","family":"Wood","given":"Lincoln C","non-dropping-particle":"","parse-names":false,"suffix":""},{"dropping-particle":"","family":"Xu","given":"Lei","non-dropping-particle":"","parse-names":false,"suffix":""},{"dropping-particle":"","family":"Dhamija","given":"Pavitra","non-dropping-particle":"","parse-names":false,"suffix":""},{"dropping-particle":"","family":"Kayikci","given":"Yaşanur","non-dropping-particle":"","parse-names":false,"suffix":""}],"container-title":"Resources, Conservation and Recycling","id":"ITEM-1","issued":{"date-parts":[["2020"]]},"page":"104559","title":"Big data analytics as an operational excellence approach to enhance sustainable supply chain performance","type":"article-journal","volume":"153"},"uris":["http://www.mendeley.com/documents/?uuid=988547c3-ed07-4a2a-a6e8-6e3c16f76f8a"]}],"mendeley":{"formattedCitation":"(Bag et al., 2020)","plainTextFormattedCitation":"(Bag et al., 2020)","previouslyFormattedCitation":"(Bag et al., 2020)"},"properties":{"noteIndex":0},"schema":"https://github.com/citation-style-language/schema/raw/master/csl-citation.json"}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(Bag et al., 2020)</w:t>
      </w:r>
      <w:r w:rsidR="00B10561" w:rsidRPr="00B10561">
        <w:rPr>
          <w:color w:val="000000" w:themeColor="text1"/>
          <w:sz w:val="22"/>
        </w:rPr>
        <w:fldChar w:fldCharType="end"/>
      </w:r>
      <w:r w:rsidRPr="00B10561">
        <w:rPr>
          <w:color w:val="000000" w:themeColor="text1"/>
          <w:sz w:val="22"/>
        </w:rPr>
        <w:t>. However, this increasing demand has led to concerns regarding resource depletion and the associated environmental impact</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{"citationItems":[{"id":"ITEM-1","itemData":{"ISBN":"978-0-8133-4576-5","author":[{"dropping-particle":"","family":"Frederickson","given":"George","non-dropping-particle":"","parse-names":false,"suffix":""},{"dropping-particle":"","family":"Smith","given":"Kevin B","non-dropping-particle":"","parse-names":false,"suffix":""},{"dropping-particle":"","family":"Larimer","given":"Cristopher W","non-dropping-particle":"","parse-names":false,"suffix":""},{"dropping-particle":"","family":"Licari","given":"Michael J","non-dropping-particle":"","parse-names":false,"suffix":""}],"id":"ITEM-1","issued":{"date-parts":[["2012"]]},"publisher":"Westview Press","publisher-place":"United States","title":"The Public Administration Theory Primer","type":"book"},"uris":["http://www.mendeley.com/documents/?uuid=2c980305-4147-4a9e-8e4c-809389814f49"]}],"mendeley":{"formattedCitation":"(Frederickson et al., 2012)","plainTextFormattedCitation":"(Frederickson et al., 2012)","previouslyFormattedCitation":"(Frederickson et al., 2012)"},"properties":{"noteIndex":0},"schema":"https://github.com/citation-style-language/schema/raw/master/csl-citation.json"}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(Frederickson et al., 2012)</w:t>
      </w:r>
      <w:r w:rsidR="00B10561" w:rsidRPr="00B10561">
        <w:rPr>
          <w:color w:val="000000" w:themeColor="text1"/>
          <w:sz w:val="22"/>
        </w:rPr>
        <w:fldChar w:fldCharType="end"/>
      </w:r>
      <w:r w:rsidRPr="00B10561">
        <w:rPr>
          <w:color w:val="000000" w:themeColor="text1"/>
          <w:sz w:val="22"/>
        </w:rPr>
        <w:t>. In response to these challenges, researchers and policymakers have been exploring alternative sources of fine aggregates, such as recycled materials and industrial byproducts</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ISSN":"0142-5455","author":[{"dropping-particle":"","family":"Pulignano","given":"Valeria","non-dropping-particle":"","parse-names":false,"suffix":""},{"dropping-particle":"","family":"Carrieri","given":"Domenico","non-dropping-particle":"","parse-names":false,"suffix":""},{"dropping-particle":"","family":"Baccaro","given":"Lucio","non-dropping-particle":"","parse-names":false,"suffix":""}],"container-title":"Employee Relations","id":"ITEM-1","issued":{"date-parts":[["2018"]]},"publisher":"Emerald Publishing Limited","title":"Industrial relations in Italy in the twenty-first century","type":"article-journal"},"uris":["http://www.mendeley.com/documents/?uuid=f954ff94-ec05-44cf-82db-1918db5ff764"]}],"mendeley":{"formattedCitation":"(Pulignano et al., 2018)","plainTextFormattedCitation":"(Pulignano et al., 2018)","previouslyFormattedCitation":"(Pulignano et al., 2018)"},"properties":{"noteIndex":0},"schema":"https://github.com/citation-style-language/schema/raw/master/csl-citation.json"}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(Pulignano et al., 2018)</w:t>
      </w:r>
      <w:r w:rsidR="00B10561" w:rsidRPr="00B10561">
        <w:rPr>
          <w:color w:val="000000" w:themeColor="text1"/>
          <w:sz w:val="22"/>
        </w:rPr>
        <w:fldChar w:fldCharType="end"/>
      </w:r>
      <w:r w:rsidRPr="00B10561">
        <w:rPr>
          <w:color w:val="000000" w:themeColor="text1"/>
          <w:sz w:val="22"/>
        </w:rPr>
        <w:t>. Our study seeks to contribute to this discourse by investigating the utilization of sediment as a substitute for traditional fine aggregates.</w:t>
      </w:r>
    </w:p>
    <w:p w14:paraId="1D28BEC6" w14:textId="6F92002D" w:rsidR="00FF06AD" w:rsidRPr="00B10561" w:rsidRDefault="00FF06AD" w:rsidP="00FF06AD">
      <w:pPr>
        <w:widowControl w:val="0"/>
        <w:autoSpaceDE w:val="0"/>
        <w:autoSpaceDN w:val="0"/>
        <w:adjustRightInd w:val="0"/>
        <w:ind w:right="88" w:firstLine="567"/>
        <w:jc w:val="both"/>
        <w:rPr>
          <w:color w:val="000000" w:themeColor="text1"/>
          <w:sz w:val="22"/>
        </w:rPr>
      </w:pPr>
      <w:r w:rsidRPr="00B10561">
        <w:rPr>
          <w:color w:val="000000" w:themeColor="text1"/>
          <w:sz w:val="22"/>
        </w:rPr>
        <w:t>The Bili-Bili Reservoir, located in South Sulawesi, Indonesia, has been grappling with escalating sedimentation issues. Sedimentation, as a natural process, can have detrimental effects on the reservoir's lifespan and its primary functions, including flood control and water supply</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{"citationItems":[{"id":"ITEM-1","itemData":{"ISSN":"22778616","abstract":"Indonesia is one of the gifted countries with abundant natural resources in many sectors such as plantation, fishery, agriculture, and mining. To support the rapid population development, the natural resources exploited massively to fulfill the needs of humans. As a result of this massive exploitation, environmental degradation could not avoid such as air, soil and water pollution. Virtue Dragon Nickel Industry, located in Konaweha watershed, indicates polluted the water in the Konaweha river. Therefore, this study aims to identify the pollution index water of Konaweha River through physical and chemical parameters as well as to recommend river management system. Sampling has taken in two places in river, which were first around the settlement and second around mining industry. Sampling analysis underwent in laboratory and Index of Pollution (IP) used to identify the level of pollution. The result shows that the highest pollution index is in location 1 located near the mining industry which is 7.20 IP and has moderate pollution level. This happens because in first location, the industrial disposal going to the river and the human activities such as agriculture, plantation and illegal sand mining. Meanwhile, in second location has lower index pollution at 5.40 IP. This is because, in second location, the primary source of pollution comes from human activities such as agriculture, plantation and illegal sand mining.","author":[{"dropping-particle":"","family":"Ali","given":"Muhammad Ichsan","non-dropping-particle":"","parse-names":false,"suffix":""}],"container-title":"International Journal of Scientific and Technology Research","id":"ITEM-1","issue":"12","issued":{"date-parts":[["2019"]]},"page":"1799-1805","title":"Status of water quality in watersheds due to mining industry activities","type":"article-journal","volume":"8"},"uris":["http://www.mendeley.com/documents/?uuid=0566f695-f0ac-4625-a8db-61bea8240948"]},{"id":"ITEM-2","itemData":{"DOI":"10.1016/j.spc.2020.09.004","ISSN":"23525509","abstract":"This article describes an international industrial symbiosis located in Canton Ticino, Switzerland, and Lombardy, Italy, involving virgin aggregates and construction and demolition waste. It discusses the potential of the industrial symbiosis to manage transport strategies and its geographic extension, to reduce substantially its transport related externalities, currently equivalent to 11% of the symbiosis value. With recourse to a key informant monitoring methodology, primary and secondary sources, this article estimates the symbiosis’ transport environmental impacts, external costs, and returns to distance under various scenarios. We show that intermodal transport strategies have the potential to reduce transport's carbon dioxide equivalent emissions by up to 61% and external costs by up to 81%, and to widen the industrial symbiosis’ geographic extension beyond the current 50 km. We also discuss how, despite changes and disagreements in the objectives of different cross-border regional authorities to manage the international industrial symbiosis, the coordination of different mechanisms and incentives is essential for the sustainable management of this international industrial symbiosis. The aim of the article is twofold. Firstly, to highlight the importance of assessing the contribution of transport to the overall industrial symbiosis’ environmental impacts, rather than consider transport and its impacts as externally given variables. And secondly, to show policy and decision makers additional methods, and inter-regional authorities coordination experiences, in order to assess impacts and manage an industrial symbiosis in more sustainable ways.","author":[{"dropping-particle":"","family":"Borbon-Galvez","given":"Yari","non-dropping-particle":"","parse-names":false,"suffix":""},{"dropping-particle":"","family":"Curi","given":"Sergio","non-dropping-particle":"","parse-names":false,"suffix":""},{"dropping-particle":"","family":"Dallari","given":"Fabrizio","non-dropping-particle":"","parse-names":false,"suffix":""},{"dropping-particle":"","family":"Ghiringhelli","given":"Giorgio","non-dropping-particle":"","parse-names":false,"suffix":""}],"container-title":"Sustainable Production and Consumption","id":"ITEM-2","issued":{"date-parts":[["2021"]]},"page":"312-324","publisher":"Elsevier B.V.","title":"International industrial symbiosis: Cross-border management of aggregates and construction and demolition waste between Italy and Switzerland","type":"article-journal","volume":"25"},"uris":["http://www.mendeley.com/documents/?uuid=5295b0bd-9f16-4bbf-bb36-23852eab6559"]}],"mendeley":{"formattedCitation":"(Ali, 2019; Borbon-Galvez et al., 2021)","plainTextFormattedCitation":"(Ali, 2019; Borbon-Galvez et al., 2021)","previouslyFormattedCitation":"(Ali, 2019; Borbon-Galvez et al., 2021)"},"properties":{"noteIndex":0},"schema":"https://github.com/citation-style-language/schema/raw/master/csl-citation.json"}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(Ali, 2019; Borbon-Galvez et al., 2021)</w:t>
      </w:r>
      <w:r w:rsidR="00B10561" w:rsidRPr="00B10561">
        <w:rPr>
          <w:color w:val="000000" w:themeColor="text1"/>
          <w:sz w:val="22"/>
        </w:rPr>
        <w:fldChar w:fldCharType="end"/>
      </w:r>
      <w:r w:rsidRPr="00B10561">
        <w:rPr>
          <w:color w:val="000000" w:themeColor="text1"/>
          <w:sz w:val="22"/>
        </w:rPr>
        <w:t>. This challenge underscores the importance of effective sediment management within the public administration realm</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{"citationItems":[{"id":"ITEM-1","itemData":{"DOI":"https://doi.org/10.1016/j.rsma.2023.103007","ISSN":"2352-4855","abstract":"The microplastic particles in surface and deep sediments of the Persian Gulf coast located in three ports of Dayer, Kangan, and Siraf in Bushehr province, Iran were investigated. Sediment samples were collected from 18 stations in the low tide range of the Persian Gulf coast at two depths of 0–5 cm and 5–20 cm. After the separation of microplastics through the floating method, their characteristics were identified using a stereomicroscope. The average abundance of microplastics identified in surface and deep sediment were 587.77 ± 145.54 and 569.44 ± 131.16 items per kg dry sediment respectively. Identified microplastic shapes included fiber, fragment, film, and foam, that fiber particles having the highest abundance at both depths compared to the other shapes. Most of microplastic particles were in the range of 500–1000 μm, and they were blue, black, and green. The highest abundance of microplastics in ports was found at stations near residential and populated areas, and industrial areas. The results of this study provide useful information for further research to understand the sources of pollutants entering the environment and regular management to protect coastal areas.","author":[{"dropping-particle":"","family":"Allami","given":"Hoda","non-dropping-particle":"","parse-names":false,"suffix":""},{"dropping-particle":"","family":"Afzali","given":"Afsaneh","non-dropping-particle":"","parse-names":false,"suffix":""},{"dropping-particle":"","family":"Mirzaei","given":"Rouhollah","non-dropping-particle":"","parse-names":false,"suffix":""}],"container-title":"Regional Studies in Marine Science","id":"ITEM-1","issued":{"date-parts":[["2023"]]},"page":"103007","title":"Identification of microplastics in coastal sediments of three ports of Dayer, Kangan, and Siraf in Bushehr province, Iran","type":"article-journal","volume":"63"},"uris":["http://www.mendeley.com/documents/?uuid=26a07596-0cf5-43ba-95ba-dfcdf6c92891"]},{"id":"ITEM-2","itemData":{"DOI":"https://doi.org/10.1016/j.dib.2021.107082","ISSN":"2352-3409","abstract":"This data article presents a rich original experimental video sources and wide collections of laboratory data on water levels, sediment depths and wave front celerity values arose from different multiphase dam-break scenarios. The required data of dam-break shock waves in highly silted-up reservoirs with various initial up- and down-stream hydraulic conditions is obtained directly from high-quality videos. The multi-layer shock waves were recorded by three professional cameras mounted along the laboratory channel. The extracted video images were rigorously scrutinized, and the datasets were obtained through the images via image processing method. Different sediment depths in the upstream reservoir and dry- or wet-bed downstream conditions were considered as initial conditions, compromising a total of 32 different scenarios. A total of 198 original experimental videos are made available online in the public repository “Mendeley Data” in 8 groups based on 8 different initial upstream sediment depths [1], [2], [3], [4], [5], [6], [7], [8]. 20 locations along the flume and 15 time snaps after the dam breaks were considered for data collecting. Consequently, a total of 18,000 water level and sediment depth data points were collected to prepare four datasets, which are uploaded in the public repository “Mendeley Data”. A total of 9600 water level data points could be accessed in [9], [10], while 8400 sediment depth data points are available online in [11], [12] and could be utilized for validation and practical purposes by other researchers. This data article is related to another research article entitled “Experimental study and numerical verification of silted-up dam-break” [13].","author":[{"dropping-particle":"","family":"Vosoughi","given":"Foad","non-dropping-particle":"","parse-names":false,"suffix":""},{"dropping-particle":"","family":"Nikoo","given":"Mohammad Reza","non-dropping-particle":"","parse-names":false,"suffix":""},{"dropping-particle":"","family":"Rakhshandehroo","given":"Gholamreza","non-dropping-particle":"","parse-names":false,"suffix":""},{"dropping-particle":"","family":"Gandomi","given":"Amir H","non-dropping-particle":"","parse-names":false,"suffix":""}],"container-title":"Data in Brief","id":"ITEM-2","issued":{"date-parts":[["2021"]]},"page":"107082","title":"Experimental dataset on water levels, sediment depths and wave front celerity values in the study of multiphase shock wave for different initial up- and down-stream conditions","type":"article-journal","volume":"36"},"uris":["http://www.mendeley.com/documents/?uuid=2e5fda95-e5cf-44e5-afa7-870ee0c357ff"]}],"mendeley":{"formattedCitation":"(Allami et al., 2023; Vosoughi et al., 2021)","plainTextFormattedCitation":"(Allami et al., 2023; Vosoughi et al., 2021)","previouslyFormattedCitation":"(Allami et al., 2023; Vosoughi et al., 2021)"},"properties":{"noteIndex":0},"schema":"https://github.com/citation-style-language/schema/raw/master/csl-citation.json"}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(Allami et al., 2023; Vosoughi et al., 2021)</w:t>
      </w:r>
      <w:r w:rsidR="00B10561" w:rsidRPr="00B10561">
        <w:rPr>
          <w:color w:val="000000" w:themeColor="text1"/>
          <w:sz w:val="22"/>
        </w:rPr>
        <w:fldChar w:fldCharType="end"/>
      </w:r>
      <w:r w:rsidRPr="00B10561">
        <w:rPr>
          <w:color w:val="000000" w:themeColor="text1"/>
          <w:sz w:val="22"/>
        </w:rPr>
        <w:t>. As sedimentation is closely linked to watershed management and land use practices</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{"citationItems":[{"id":"ITEM-1","itemData":{"DOI":"10.1177/0170840604046349","ISSN":"01708406","abstract":"This paper draws on a study of the implementation of business process reengineering (BPR) in a UK National Health Service (NHS) hospital to examine the challenge of effecting a transformatory shift to a new form of process organization in a large and complex public service organization. The paper's theoretical and empirical interests go beyond BPR by bringing together literatures about organizational transformation, new organizational forms and the new public management (NPM) in a novel way. Data reveal important limits to intended organizational transformation and develop findings about sedimented rather than transformational change and the limitations of radical top-down change strategies in professionalized public service organizations. Within the domain of public service organizations, the paper also advances a new argument about why intended moves to post-NPM forms may remain contained in scope.","author":[{"dropping-particle":"","family":"McNulty","given":"Terry","non-dropping-particle":"","parse-names":false,"suffix":""},{"dropping-particle":"","family":"Ferlie","given":"Ewan","non-dropping-particle":"","parse-names":false,"suffix":""}],"container-title":"Organization Studies","id":"ITEM-1","issue":"8","issued":{"date-parts":[["2004"]]},"page":"1389-1412","title":"Process transformation: Limitations to radical organizational change within public service organizations","type":"article-journal","volume":"25"},"uris":["http://www.mendeley.com/documents/?uuid=10aa6087-af9d-4b4c-b8f8-35313430c081"]}],"mendeley":{"formattedCitation":"(McNulty &amp; Ferlie, 2004)","plainTextFormattedCitation":"(McNulty &amp; Ferlie, 2004)","previouslyFormattedCitation":"(McNulty &amp; Ferlie, 2004)"},"properties":{"noteIndex":0},"schema":"https://github.com/citation-style-language/schema/raw/master/csl-citation.json"}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(McNulty &amp; Ferlie, 2004)</w:t>
      </w:r>
      <w:r w:rsidR="00B10561" w:rsidRPr="00B10561">
        <w:rPr>
          <w:color w:val="000000" w:themeColor="text1"/>
          <w:sz w:val="22"/>
        </w:rPr>
        <w:fldChar w:fldCharType="end"/>
      </w:r>
      <w:r w:rsidRPr="00B10561">
        <w:rPr>
          <w:color w:val="000000" w:themeColor="text1"/>
          <w:sz w:val="22"/>
        </w:rPr>
        <w:t>, our research seeks to assess the feasibility of repurposing sediment material as an alternative to fine aggregates in concrete construction.</w:t>
      </w:r>
    </w:p>
    <w:p w14:paraId="61BBEC73" w14:textId="552E4351" w:rsidR="00FF06AD" w:rsidRPr="00B10561" w:rsidRDefault="00FF06AD" w:rsidP="00FF06AD">
      <w:pPr>
        <w:widowControl w:val="0"/>
        <w:autoSpaceDE w:val="0"/>
        <w:autoSpaceDN w:val="0"/>
        <w:adjustRightInd w:val="0"/>
        <w:ind w:right="88" w:firstLine="567"/>
        <w:jc w:val="both"/>
        <w:rPr>
          <w:color w:val="000000" w:themeColor="text1"/>
          <w:sz w:val="22"/>
        </w:rPr>
      </w:pPr>
      <w:r w:rsidRPr="00B10561">
        <w:rPr>
          <w:color w:val="000000" w:themeColor="text1"/>
          <w:sz w:val="22"/>
        </w:rPr>
        <w:t>The initiation of our research involved the meticulous collection of sediment samples from the upper reaches of the Bili-Bili Reservoir. These samples served as the foundation for subsequent laboratory testing to determine the physical and mechanical properties of the sediment. As sediment composition varies across regions and watersheds, understanding the specific characteristics of Bili-Bili sediment is crucial to its potential applicability as a fine aggregate substitute.</w:t>
      </w:r>
    </w:p>
    <w:p w14:paraId="558E3A61" w14:textId="6DF910FA" w:rsidR="00FF06AD" w:rsidRPr="00B10561" w:rsidRDefault="00FF06AD" w:rsidP="00FF06AD">
      <w:pPr>
        <w:widowControl w:val="0"/>
        <w:autoSpaceDE w:val="0"/>
        <w:autoSpaceDN w:val="0"/>
        <w:adjustRightInd w:val="0"/>
        <w:ind w:right="88" w:firstLine="567"/>
        <w:jc w:val="both"/>
        <w:rPr>
          <w:color w:val="000000" w:themeColor="text1"/>
          <w:sz w:val="22"/>
        </w:rPr>
      </w:pPr>
      <w:r w:rsidRPr="00B10561">
        <w:rPr>
          <w:color w:val="000000" w:themeColor="text1"/>
          <w:sz w:val="22"/>
        </w:rPr>
        <w:t>An integral facet of our study was the evaluation of the compressive strength of concrete mixes that incorporated sediment as a replacement for fine aggregates. This testing aimed to ascertain the structural integrity and performance of concrete when sediment was utilized as a component. Compressive strength tests are a standard method for assessing concrete quality and suitability for construction purposes</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{"citationItems":[{"id":"ITEM-1","itemData":{"ISSN":"22778616","abstract":"Indonesia is one of the gifted countries with abundant natural resources in many sectors such as plantation, fishery, agriculture, and mining. To support the rapid population development, the natural resources exploited massively to fulfill the needs of humans. As a result of this massive exploitation, environmental degradation could not avoid such as air, soil and water pollution. Virtue Dragon Nickel Industry, located in Konaweha watershed, indicates polluted the water in the Konaweha river. Therefore, this study aims to identify the pollution index water of Konaweha River through physical and chemical parameters as well as to recommend river management system. Sampling has taken in two places in river, which were first around the settlement and second around mining industry. Sampling analysis underwent in laboratory and Index of Pollution (IP) used to identify the level of pollution. The result shows that the highest pollution index is in location 1 located near the mining industry which is 7.20 IP and has moderate pollution level. This happens because in first location, the industrial disposal going to the river and the human activities such as agriculture, plantation and illegal sand mining. Meanwhile, in second location has lower index pollution at 5.40 IP. This is because, in second location, the primary source of pollution comes from human activities such as agriculture, plantation and illegal sand mining.","author":[{"dropping-particle":"","family":"Ali","given":"Muhammad Ichsan","non-dropping-particle":"","parse-names":false,"suffix":""}],"container-title":"International Journal of Scientific and Technology Research","id":"ITEM-1","issue":"12","issued":{"date-parts":[["2019"]]},"page":"1799-1805","title":"Status of water quality in watersheds due to mining industry activities","type":"article-journal","volume":"8"},"uris":["http://www.mendeley.com/documents/?uuid=0566f695-f0ac-4625-a8db-61bea8240948"]}],"mendeley":{"formattedCitation":"(Ali, 2019)","plainTextFormattedCitation":"(Ali, 2019)","previouslyFormattedCitation":"(Ali, 2019)"},"properties":{"noteIndex":0},"schema":"https://github.com/citation-style-language/schema/raw/master/csl-citation.json"}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(Ali, 2019)</w:t>
      </w:r>
      <w:r w:rsidR="00B10561" w:rsidRPr="00B10561">
        <w:rPr>
          <w:color w:val="000000" w:themeColor="text1"/>
          <w:sz w:val="22"/>
        </w:rPr>
        <w:fldChar w:fldCharType="end"/>
      </w:r>
      <w:r w:rsidRPr="00B10561">
        <w:rPr>
          <w:color w:val="000000" w:themeColor="text1"/>
          <w:sz w:val="22"/>
        </w:rPr>
        <w:t>. Throughout the research process, we rigorously adhered to Indonesian National Standards for aggregate examination procedures</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{"citationItems":[{"id":"ITEM-1","itemData":{"DOI":"10.18517/ijaseit.9.3.8692","ISSN":"24606952","abstract":"Land surface water bodies, an essential part of the Earth's water cycle such as rivers, lakes, swamp, and reservoirs, influence the global ecosystem and climate global significantly. Makassar, one of the most populated cities in Indonesia, recently experiences massive development that affects the existence of vegetation area and urban aquatic ecosystem. This study attempts to detect the urban surface water bodies and to monitor the change by using Landsat OLI TIRS. In order to extract the high accuracy of data, the image data utilized in this study was acquired by Landsat 8 OLI TIRS sensor on 14 December 2000, 27 December 2009 and 06 January 2019 from the United States Geological Survey (USGS) portal analyzed by Normalized Difference Water Index (NDWI) and Modified Normalized Difference Water Index (MNDWI). These methods are scientifically used to classify the data into two categories consisted of water and non-water objects. The result shows that in the last nine years, urban surface water bodies increased around 129.8 ha distributed mostly in Manggala area. Due to rapid urban development such as housing, makes the urban runoff concentrating in low land and creates giant swamp as well as an urban wetland. In coastal areas however decline of the water body due to dominantly by massive reclamation, housing and factory settlement. The increase of urban surface water bodies can lower the urban heat while massive development in the built-up area can worsen the urban heat.","author":[{"dropping-particle":"","family":"Ali","given":"Muhammad Ichsan","non-dropping-particle":"","parse-names":false,"suffix":""},{"dropping-particle":"","family":"Dirawan","given":"Gufran Darma","non-dropping-particle":"","parse-names":false,"suffix":""},{"dropping-particle":"","family":"Hasim","given":"Abdul Hafid","non-dropping-particle":"","parse-names":false,"suffix":""},{"dropping-particle":"","family":"Abidin","given":"Muh Rais","non-dropping-particle":"","parse-names":false,"suffix":""}],"container-title":"International Journal on Advanced Science, Engineering and Information Technology","id":"ITEM-1","issue":"3","issued":{"date-parts":[["2019"]]},"page":"946-951","title":"Detection of changes in surface water bodies urban area with NDWI and MNDWI methods","type":"article-journal","volume":"9"},"uris":["http://www.mendeley.com/documents/?uuid=a8ce2681-1c8b-4c47-9fd5-458abc522c2b"]},{"id":"ITEM-2","itemData":{"DOI":"10.1080/01442872.2019.1618813","ISSN":"14701006","author":[{"dropping-particle":"","family":"Li","given":"Ya","non-dropping-particle":"","parse-names":false,"suffix":""},{"dropping-particle":"","family":"Wagenaar","given":"Hendrik","non-dropping-particle":"","parse-names":false,"suffix":""}],"container-title":"Policy Studies","id":"ITEM-2","issue":"5","issued":{"date-parts":[["2019"]]},"page":"427-436","title":"Revisiting deliberative policy analysis","type":"article-journal","volume":"40"},"uris":["http://www.mendeley.com/documents/?uuid=60fa4e00-21c9-476b-9425-7a588acc1c49"]}],"mendeley":{"formattedCitation":"(Ali et al., 2019; Li &amp; Wagenaar, 2019)","plainTextFormattedCitation":"(Ali et al., 2019; Li &amp; Wagenaar, 2019)","previouslyFormattedCitation":"(Ali et al., 2019; Li &amp; Wagenaar, 2019)"},"properties":{"noteIndex":0},"schema":"https://github.com/citation-style-language/schema/raw/master/csl-citation.json"}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(Ali et al., 2019; Li &amp; Wagenaar, 2019)</w:t>
      </w:r>
      <w:r w:rsidR="00B10561" w:rsidRPr="00B10561">
        <w:rPr>
          <w:color w:val="000000" w:themeColor="text1"/>
          <w:sz w:val="22"/>
        </w:rPr>
        <w:fldChar w:fldCharType="end"/>
      </w:r>
      <w:r w:rsidRPr="00B10561">
        <w:rPr>
          <w:color w:val="000000" w:themeColor="text1"/>
          <w:sz w:val="22"/>
        </w:rPr>
        <w:t>. This adherence ensured that our testing and assessment methods aligned with established industry standards, enabling a robust and reliable evaluation of sediment suitability as a fine aggregate substitute.</w:t>
      </w:r>
    </w:p>
    <w:p w14:paraId="59DE4F11" w14:textId="4063278A" w:rsidR="00FF06AD" w:rsidRPr="00B10561" w:rsidRDefault="00FF06AD" w:rsidP="00FF06AD">
      <w:pPr>
        <w:widowControl w:val="0"/>
        <w:autoSpaceDE w:val="0"/>
        <w:autoSpaceDN w:val="0"/>
        <w:adjustRightInd w:val="0"/>
        <w:ind w:right="88" w:firstLine="567"/>
        <w:jc w:val="both"/>
        <w:rPr>
          <w:color w:val="000000" w:themeColor="text1"/>
          <w:sz w:val="22"/>
        </w:rPr>
      </w:pPr>
      <w:r w:rsidRPr="00B10561">
        <w:rPr>
          <w:color w:val="000000" w:themeColor="text1"/>
          <w:sz w:val="22"/>
        </w:rPr>
        <w:t xml:space="preserve">Our research study was conducted within the well-equipped Material Testing Laboratory, </w:t>
      </w:r>
      <w:r w:rsidRPr="00B10561">
        <w:rPr>
          <w:color w:val="000000" w:themeColor="text1"/>
          <w:sz w:val="22"/>
        </w:rPr>
        <w:lastRenderedPageBreak/>
        <w:t>which is part of the Department of Civil Engineering and Planning at Makassar State University. The laboratory provided essential infrastructure and resources necessary for conducting precise and accurate tests, enhancing the credibility and validity of our findings</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DOI":"10.1080/01442872.2019.1618813","ISSN":"14701006","author":[{"dropping-particle":"","family":"Li","given":"Ya","non-dropping-particle":"","parse-names":false,"suffix":""},{"dropping-particle":"","family":"Wagenaar","given":"Hendrik","non-dropping-particle":"","parse-names":false,"suffix":""}],"container-title":"Policy Studies","id":"ITEM-1","issue":"5","issued":{"date-parts":[["2019"]]},"page":"427-436","title":"Revisiting deliberative policy analysis","type":"article-journal","volume":"40"},"uris":["http://www.mendeley.com/documents/?uuid=7bf99f9c-af9c-4bf1-bfbe-1ce17aa5eecf"]}],"mendeley":{"formattedCitation":"(Li &amp; Wagenaar, 2019)","plainTextFormattedCitation":"(Li &amp; Wagenaar, 2019)","previouslyFormattedCitation":"(Li &amp; Wagenaar, 2019)"},"properties":{"noteIndex":0},"schema":"https://github.com/citation-style-language/schema/raw/master/csl-citation.json"}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(Li &amp; Wagenaar, 2019)</w:t>
      </w:r>
      <w:r w:rsidR="00B10561" w:rsidRPr="00B10561">
        <w:rPr>
          <w:color w:val="000000" w:themeColor="text1"/>
          <w:sz w:val="22"/>
        </w:rPr>
        <w:fldChar w:fldCharType="end"/>
      </w:r>
      <w:r w:rsidRPr="00B10561">
        <w:rPr>
          <w:color w:val="000000" w:themeColor="text1"/>
          <w:sz w:val="22"/>
        </w:rPr>
        <w:t>. The strategic selection of the sediment material collection site near the Jeneberang River in Bili-Bili Village, Parangloe Subdistrict, Gowa Regency, South Sulawesi, was paramount to the study's success. The proximity to the Bili-Bili Reservoir and the specific location along the river offered accessibility to the sediment source while ensuring representativeness of the samples collected</w:t>
      </w:r>
      <w:r w:rsidR="00B10561" w:rsidRPr="00B10561">
        <w:rPr>
          <w:color w:val="000000" w:themeColor="text1"/>
          <w:sz w:val="22"/>
        </w:rPr>
        <w:t xml:space="preserve"> </w:t>
      </w:r>
      <w:r w:rsidR="00B10561" w:rsidRPr="00B10561">
        <w:rPr>
          <w:color w:val="000000" w:themeColor="text1"/>
          <w:sz w:val="22"/>
        </w:rPr>
        <w:fldChar w:fldCharType="begin" w:fldLock="1"/>
      </w:r>
      <w:r w:rsidR="00B10561" w:rsidRPr="00B10561">
        <w:rPr>
          <w:color w:val="000000" w:themeColor="text1"/>
          <w:sz w:val="22"/>
        </w:rPr>
        <w:instrText>ADDIN CSL_CITATION {"citationItems":[{"id":"ITEM-1","itemData":{"DOI":"10.24198/sosiohumaniora.v24i2.38395","ISSN":"1411-0911","abstract":"To overcome the pollution of the Citarum River, a comprehensive environmental management effort is needed and integrates various programs or activities from various parties. This study will describe the structure of the institutional network among the institutions involved in the management of the Citarum watershed. The aspects studied are the elements of the institution that enable the institution to develop properly and the aspects contained in the institutional network, namely the actors involved, distribution of resources, opportunities for exchange, exchange relations, and network structure. The research was conducted in the Citarum watershed area in Sector 7, Bandung Regency, namely in Baleendah District. Data were collected from institutions identified as institutions involved in the management of the Citarum watershed. The results showed that apart from the Sector 7 Commander, the institutions involved in the management of the Citarum watershed consisted of local/regional non-governmental organizations (NGOs), government agencies, local governments, academics, and the community. Each stakeholder plays a role in accordance with his position and limits of authority and through involvement by the Sector Commander (Dansector) 7 who plays the role of coordinator and is quite dominant in coordinating Citarum watershed management activities. In order for the achievements of this program to be sustainable, this dominance must be balanced with strengthening community capacity to avoid dependence on central government programs.","author":[{"dropping-particle":"","family":"Darwis","given":"Rudi Saprudin","non-dropping-particle":"","parse-names":false,"suffix":""},{"dropping-particle":"","family":"Resnawati","given":"Risna","non-dropping-particle":"","parse-names":false,"suffix":""},{"dropping-particle":"","family":"Hidayat","given":"Eva Nuriyah","non-dropping-particle":"","parse-names":false,"suffix":""}],"container-title":"Sosiohumaniora","id":"ITEM-1","issue":"2","issued":{"date-parts":[["2022"]]},"page":"263","title":"Institutional Network Structure in Citarum Watershed Management","type":"article-journal","volume":"24"},"uris":["http://www.mendeley.com/documents/?uuid=2a34277a-157f-4f37-87a3-ddd0d55fe5cf"]}],"mendeley":{"formattedCitation":"(Darwis et al., 2022)","plainTextFormattedCitation":"(Darwis et al., 2022)","previouslyFormattedCitation":"(Darwis et al., 2022)"},"properties":{"noteIndex":0},"schema":"https://github.com/citation-style-language/schema/raw/master/csl-citation.json"}</w:instrText>
      </w:r>
      <w:r w:rsidR="00B10561" w:rsidRPr="00B10561">
        <w:rPr>
          <w:color w:val="000000" w:themeColor="text1"/>
          <w:sz w:val="22"/>
        </w:rPr>
        <w:fldChar w:fldCharType="separate"/>
      </w:r>
      <w:r w:rsidR="00B10561" w:rsidRPr="00B10561">
        <w:rPr>
          <w:noProof/>
          <w:color w:val="000000" w:themeColor="text1"/>
          <w:sz w:val="22"/>
        </w:rPr>
        <w:t>(Darwis et al., 2022)</w:t>
      </w:r>
      <w:r w:rsidR="00B10561" w:rsidRPr="00B10561">
        <w:rPr>
          <w:color w:val="000000" w:themeColor="text1"/>
          <w:sz w:val="22"/>
        </w:rPr>
        <w:fldChar w:fldCharType="end"/>
      </w:r>
      <w:r w:rsidRPr="00B10561">
        <w:rPr>
          <w:color w:val="000000" w:themeColor="text1"/>
          <w:sz w:val="22"/>
        </w:rPr>
        <w:t>.</w:t>
      </w:r>
    </w:p>
    <w:p w14:paraId="0E9CBFC2" w14:textId="3E89B9B8" w:rsidR="00FF06AD" w:rsidRPr="00B10561" w:rsidRDefault="00FF06AD" w:rsidP="00FF06AD">
      <w:pPr>
        <w:widowControl w:val="0"/>
        <w:autoSpaceDE w:val="0"/>
        <w:autoSpaceDN w:val="0"/>
        <w:adjustRightInd w:val="0"/>
        <w:ind w:right="88" w:firstLine="567"/>
        <w:jc w:val="both"/>
        <w:rPr>
          <w:color w:val="000000" w:themeColor="text1"/>
          <w:sz w:val="22"/>
        </w:rPr>
      </w:pPr>
      <w:r w:rsidRPr="00B10561">
        <w:rPr>
          <w:color w:val="000000" w:themeColor="text1"/>
          <w:sz w:val="22"/>
        </w:rPr>
        <w:t>The research findings provide valuable insights into the potential utilization of sediment material from the Upper Bili-Bili Reservoir in concrete production. Beyond addressing sedimentation challenges, this approach aligns with sustainability goals by promoting environmentally friendly construction practices and exploring economically viable alternatives.</w:t>
      </w:r>
    </w:p>
    <w:p w14:paraId="532357DA" w14:textId="77777777" w:rsidR="00971CCE" w:rsidRPr="004261C8" w:rsidRDefault="00971CCE" w:rsidP="00971CCE">
      <w:pPr>
        <w:widowControl w:val="0"/>
        <w:autoSpaceDE w:val="0"/>
        <w:autoSpaceDN w:val="0"/>
        <w:adjustRightInd w:val="0"/>
        <w:ind w:right="88" w:firstLine="720"/>
        <w:jc w:val="both"/>
        <w:rPr>
          <w:color w:val="000000" w:themeColor="text1"/>
          <w:szCs w:val="24"/>
        </w:rPr>
      </w:pPr>
    </w:p>
    <w:p w14:paraId="0DEE3218" w14:textId="77F74480" w:rsidR="00971CCE" w:rsidRPr="004261C8" w:rsidRDefault="00971CCE" w:rsidP="00971CCE">
      <w:pPr>
        <w:widowControl w:val="0"/>
        <w:autoSpaceDE w:val="0"/>
        <w:autoSpaceDN w:val="0"/>
        <w:adjustRightInd w:val="0"/>
        <w:ind w:right="88"/>
        <w:jc w:val="both"/>
        <w:rPr>
          <w:color w:val="000000" w:themeColor="text1"/>
          <w:szCs w:val="24"/>
          <w:lang w:val="id-ID"/>
        </w:rPr>
      </w:pPr>
      <w:r w:rsidRPr="004261C8">
        <w:rPr>
          <w:noProof/>
          <w:color w:val="000000" w:themeColor="text1"/>
          <w:szCs w:val="24"/>
          <w:lang w:val="id-ID" w:eastAsia="id-ID"/>
        </w:rPr>
        <mc:AlternateContent>
          <mc:Choice Requires="wps">
            <w:drawing>
              <wp:anchor distT="0" distB="0" distL="114300" distR="114300" simplePos="0" relativeHeight="251660800" behindDoc="1" locked="0" layoutInCell="0" allowOverlap="1" wp14:anchorId="589D3BFB" wp14:editId="5D89510D">
                <wp:simplePos x="0" y="0"/>
                <wp:positionH relativeFrom="page">
                  <wp:posOffset>0</wp:posOffset>
                </wp:positionH>
                <wp:positionV relativeFrom="page">
                  <wp:posOffset>114300</wp:posOffset>
                </wp:positionV>
                <wp:extent cx="7560310" cy="68643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2EF51" w14:textId="77777777" w:rsidR="00971CCE" w:rsidRDefault="00971CCE" w:rsidP="00971CCE">
                            <w:pPr>
                              <w:widowControl w:val="0"/>
                              <w:autoSpaceDE w:val="0"/>
                              <w:autoSpaceDN w:val="0"/>
                              <w:adjustRightInd w:val="0"/>
                              <w:spacing w:before="7" w:line="170" w:lineRule="exact"/>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D3BFB" id="_x0000_t202" coordsize="21600,21600" o:spt="202" path="m,l,21600r21600,l21600,xe">
                <v:stroke joinstyle="miter"/>
                <v:path gradientshapeok="t" o:connecttype="rect"/>
              </v:shapetype>
              <v:shape id="Text Box 3" o:spid="_x0000_s1026" type="#_x0000_t202" style="position:absolute;left:0;text-align:left;margin-left:0;margin-top:9pt;width:595.3pt;height:54.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" o:allowincell="f" filled="f" stroked="f">
                <v:textbox inset="0,0,0,0">
                  <w:txbxContent>
                    <w:p w14:paraId="2312EF51" w14:textId="77777777" w:rsidR="00971CCE" w:rsidRDefault="00971CCE" w:rsidP="00971CCE">
                      <w:pPr>
                        <w:widowControl w:val="0"/>
                        <w:autoSpaceDE w:val="0"/>
                        <w:autoSpaceDN w:val="0"/>
                        <w:adjustRightInd w:val="0"/>
                        <w:spacing w:before="7" w:line="170" w:lineRule="exact"/>
                        <w:rPr>
                          <w:sz w:val="17"/>
                          <w:szCs w:val="17"/>
                        </w:rPr>
                      </w:pPr>
                    </w:p>
                  </w:txbxContent>
                </v:textbox>
                <w10:wrap anchorx="page" anchory="page"/>
              </v:shape>
            </w:pict>
          </mc:Fallback>
        </mc:AlternateContent>
      </w:r>
      <w:r w:rsidRPr="004261C8">
        <w:rPr>
          <w:b/>
          <w:bCs/>
          <w:color w:val="000000" w:themeColor="text1"/>
          <w:szCs w:val="24"/>
          <w:lang w:val="id-ID"/>
        </w:rPr>
        <w:t>CONCLUSION</w:t>
      </w:r>
    </w:p>
    <w:p w14:paraId="131D64A5" w14:textId="47114E32" w:rsidR="00971CCE" w:rsidRPr="00B10561" w:rsidRDefault="00B10561" w:rsidP="009D2A58">
      <w:pPr>
        <w:widowControl w:val="0"/>
        <w:autoSpaceDE w:val="0"/>
        <w:autoSpaceDN w:val="0"/>
        <w:adjustRightInd w:val="0"/>
        <w:spacing w:before="240"/>
        <w:ind w:right="98" w:firstLine="567"/>
        <w:jc w:val="both"/>
        <w:rPr>
          <w:color w:val="000000" w:themeColor="text1"/>
          <w:sz w:val="22"/>
        </w:rPr>
      </w:pPr>
      <w:r w:rsidRPr="00B10561">
        <w:rPr>
          <w:color w:val="000000" w:themeColor="text1"/>
          <w:sz w:val="22"/>
        </w:rPr>
        <w:t xml:space="preserve">The </w:t>
      </w:r>
      <w:r w:rsidR="001C3741" w:rsidRPr="00B10561">
        <w:rPr>
          <w:color w:val="000000" w:themeColor="text1"/>
          <w:sz w:val="22"/>
        </w:rPr>
        <w:t>results of this study underscore the critical significance of thoroughly evaluating construction materials, particularly aggregates, to ensure compliance with established standards. The utilization of sediment as a substitute for traditional fine aggregates presents an opportunity to not only address resource scarcity but also contribute to waste reduction. Furthermore, by considering public administration aspects in the management of sediment materials within the Bili-Bili Reservoir, this approach aligns with principles of responsible resource utilization and environmental sustainability in concrete construction practices.</w:t>
      </w:r>
    </w:p>
    <w:p w14:paraId="69AAD50C" w14:textId="77777777" w:rsidR="00971CCE" w:rsidRPr="004261C8" w:rsidRDefault="00971CCE" w:rsidP="00971CCE">
      <w:pPr>
        <w:widowControl w:val="0"/>
        <w:autoSpaceDE w:val="0"/>
        <w:autoSpaceDN w:val="0"/>
        <w:adjustRightInd w:val="0"/>
        <w:ind w:right="88" w:firstLine="720"/>
        <w:jc w:val="both"/>
        <w:rPr>
          <w:color w:val="000000" w:themeColor="text1"/>
          <w:szCs w:val="24"/>
        </w:rPr>
      </w:pPr>
    </w:p>
    <w:p w14:paraId="59BC15A9" w14:textId="1B81F1D4" w:rsidR="00971CCE" w:rsidRPr="00971CCE" w:rsidRDefault="00971CCE" w:rsidP="00971CCE">
      <w:pPr>
        <w:pStyle w:val="ListParagraph"/>
        <w:ind w:left="200" w:hanging="200"/>
        <w:jc w:val="both"/>
        <w:rPr>
          <w:b/>
          <w:bCs/>
          <w:color w:val="000000" w:themeColor="text1"/>
          <w:szCs w:val="24"/>
          <w:lang w:val="en-US"/>
        </w:rPr>
      </w:pPr>
      <w:r w:rsidRPr="004261C8">
        <w:rPr>
          <w:b/>
          <w:bCs/>
          <w:color w:val="000000" w:themeColor="text1"/>
          <w:szCs w:val="24"/>
          <w:lang w:val="id-ID"/>
        </w:rPr>
        <w:t>REFERENCE</w:t>
      </w:r>
      <w:r>
        <w:rPr>
          <w:b/>
          <w:bCs/>
          <w:color w:val="000000" w:themeColor="text1"/>
          <w:szCs w:val="24"/>
          <w:lang w:val="en-US"/>
        </w:rPr>
        <w:t>S</w:t>
      </w:r>
    </w:p>
    <w:p w14:paraId="0603E340" w14:textId="0926B527" w:rsidR="00971CCE" w:rsidRDefault="00971CCE" w:rsidP="00971CCE">
      <w:pPr>
        <w:pStyle w:val="ListParagraph"/>
        <w:spacing w:before="240"/>
        <w:ind w:left="567" w:hanging="567"/>
        <w:jc w:val="both"/>
        <w:rPr>
          <w:color w:val="000000" w:themeColor="text1"/>
          <w:szCs w:val="24"/>
        </w:rPr>
      </w:pPr>
    </w:p>
    <w:p w14:paraId="60C392C2" w14:textId="1C86B8F5" w:rsidR="00B10561" w:rsidRPr="00B10561" w:rsidRDefault="00B10561" w:rsidP="00B10561">
      <w:pPr>
        <w:widowControl w:val="0"/>
        <w:autoSpaceDE w:val="0"/>
        <w:autoSpaceDN w:val="0"/>
        <w:adjustRightInd w:val="0"/>
        <w:spacing w:before="120"/>
        <w:ind w:left="480" w:hanging="480"/>
        <w:jc w:val="both"/>
        <w:rPr>
          <w:noProof/>
          <w:sz w:val="22"/>
        </w:rPr>
      </w:pPr>
      <w:r w:rsidRPr="00B10561">
        <w:rPr>
          <w:color w:val="000000" w:themeColor="text1"/>
          <w:sz w:val="22"/>
        </w:rPr>
        <w:fldChar w:fldCharType="begin" w:fldLock="1"/>
      </w:r>
      <w:r w:rsidRPr="00B10561">
        <w:rPr>
          <w:color w:val="000000" w:themeColor="text1"/>
          <w:sz w:val="22"/>
        </w:rPr>
        <w:instrText xml:space="preserve">ADDIN Mendeley Bibliography CSL_BIBLIOGRAPHY </w:instrText>
      </w:r>
      <w:r w:rsidRPr="00B10561">
        <w:rPr>
          <w:color w:val="000000" w:themeColor="text1"/>
          <w:sz w:val="22"/>
        </w:rPr>
        <w:fldChar w:fldCharType="separate"/>
      </w:r>
      <w:r w:rsidRPr="00B10561">
        <w:rPr>
          <w:noProof/>
          <w:sz w:val="22"/>
        </w:rPr>
        <w:t xml:space="preserve">Ali, M. I. (2019). Status of water quality in watersheds due to mining industry activities. </w:t>
      </w:r>
      <w:r w:rsidRPr="00B10561">
        <w:rPr>
          <w:i/>
          <w:iCs/>
          <w:noProof/>
          <w:sz w:val="22"/>
        </w:rPr>
        <w:t>International Journal of Scientific and Technology Research</w:t>
      </w:r>
      <w:r w:rsidRPr="00B10561">
        <w:rPr>
          <w:noProof/>
          <w:sz w:val="22"/>
        </w:rPr>
        <w:t xml:space="preserve">, </w:t>
      </w:r>
      <w:r w:rsidRPr="00B10561">
        <w:rPr>
          <w:i/>
          <w:iCs/>
          <w:noProof/>
          <w:sz w:val="22"/>
        </w:rPr>
        <w:t>8</w:t>
      </w:r>
      <w:r w:rsidRPr="00B10561">
        <w:rPr>
          <w:noProof/>
          <w:sz w:val="22"/>
        </w:rPr>
        <w:t>(12), 1799–1805.</w:t>
      </w:r>
    </w:p>
    <w:p w14:paraId="49E1F8DD"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Ali, M. I., Dirawan, G. D., Hasim, A. H., &amp; Abidin, M. R. (2019). Detection of changes in surface water bodies urban area with NDWI and MNDWI methods. </w:t>
      </w:r>
      <w:r w:rsidRPr="00B10561">
        <w:rPr>
          <w:i/>
          <w:iCs/>
          <w:noProof/>
          <w:sz w:val="22"/>
        </w:rPr>
        <w:t>International Journal on Advanced Science, Engineering and Information Technology</w:t>
      </w:r>
      <w:r w:rsidRPr="00B10561">
        <w:rPr>
          <w:noProof/>
          <w:sz w:val="22"/>
        </w:rPr>
        <w:t xml:space="preserve">, </w:t>
      </w:r>
      <w:r w:rsidRPr="00B10561">
        <w:rPr>
          <w:i/>
          <w:iCs/>
          <w:noProof/>
          <w:sz w:val="22"/>
        </w:rPr>
        <w:t>9</w:t>
      </w:r>
      <w:r w:rsidRPr="00B10561">
        <w:rPr>
          <w:noProof/>
          <w:sz w:val="22"/>
        </w:rPr>
        <w:t>(3), 946–951. https://doi.org/10.18517/ijaseit.9.3.8692</w:t>
      </w:r>
    </w:p>
    <w:p w14:paraId="7D150EB2"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Allami, H., Afzali, A., &amp; Mirzaei, R. (2023). Identification of microplastics in coastal sediments of three ports of Dayer, Kangan, and Siraf in Bushehr province, Iran. </w:t>
      </w:r>
      <w:r w:rsidRPr="00B10561">
        <w:rPr>
          <w:i/>
          <w:iCs/>
          <w:noProof/>
          <w:sz w:val="22"/>
        </w:rPr>
        <w:t>Regional Studies in Marine Science</w:t>
      </w:r>
      <w:r w:rsidRPr="00B10561">
        <w:rPr>
          <w:noProof/>
          <w:sz w:val="22"/>
        </w:rPr>
        <w:t xml:space="preserve">, </w:t>
      </w:r>
      <w:r w:rsidRPr="00B10561">
        <w:rPr>
          <w:i/>
          <w:iCs/>
          <w:noProof/>
          <w:sz w:val="22"/>
        </w:rPr>
        <w:t>63</w:t>
      </w:r>
      <w:r w:rsidRPr="00B10561">
        <w:rPr>
          <w:noProof/>
          <w:sz w:val="22"/>
        </w:rPr>
        <w:t>, 103007. https://doi.org/https://doi.org/10.1016/j.rsma.2023.103007</w:t>
      </w:r>
    </w:p>
    <w:p w14:paraId="2BE1CFC1"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Bag, S., Wood, L. C., Xu, L., Dhamija, P., &amp; Kayikci, Y. (2020). Big data analytics as an operational excellence approach to enhance sustainable supply chain performance. </w:t>
      </w:r>
      <w:r w:rsidRPr="00B10561">
        <w:rPr>
          <w:i/>
          <w:iCs/>
          <w:noProof/>
          <w:sz w:val="22"/>
        </w:rPr>
        <w:t>Resources, Conservation and Recycling</w:t>
      </w:r>
      <w:r w:rsidRPr="00B10561">
        <w:rPr>
          <w:noProof/>
          <w:sz w:val="22"/>
        </w:rPr>
        <w:t xml:space="preserve">, </w:t>
      </w:r>
      <w:r w:rsidRPr="00B10561">
        <w:rPr>
          <w:i/>
          <w:iCs/>
          <w:noProof/>
          <w:sz w:val="22"/>
        </w:rPr>
        <w:t>153</w:t>
      </w:r>
      <w:r w:rsidRPr="00B10561">
        <w:rPr>
          <w:noProof/>
          <w:sz w:val="22"/>
        </w:rPr>
        <w:t>, 104559. https://doi.org/https://doi.org/10.1016/j.resconrec.2019.104559</w:t>
      </w:r>
    </w:p>
    <w:p w14:paraId="10EBFA28"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Borbon-Galvez, Y., Curi, S., Dallari, F., &amp; Ghiringhelli, G. (2021). International industrial symbiosis: Cross-border management of aggregates and construction and demolition waste between Italy and Switzerland. </w:t>
      </w:r>
      <w:r w:rsidRPr="00B10561">
        <w:rPr>
          <w:i/>
          <w:iCs/>
          <w:noProof/>
          <w:sz w:val="22"/>
        </w:rPr>
        <w:t>Sustainable Production and Consumption</w:t>
      </w:r>
      <w:r w:rsidRPr="00B10561">
        <w:rPr>
          <w:noProof/>
          <w:sz w:val="22"/>
        </w:rPr>
        <w:t xml:space="preserve">, </w:t>
      </w:r>
      <w:r w:rsidRPr="00B10561">
        <w:rPr>
          <w:i/>
          <w:iCs/>
          <w:noProof/>
          <w:sz w:val="22"/>
        </w:rPr>
        <w:t>25</w:t>
      </w:r>
      <w:r w:rsidRPr="00B10561">
        <w:rPr>
          <w:noProof/>
          <w:sz w:val="22"/>
        </w:rPr>
        <w:t>, 312–324. https://doi.org/10.1016/j.spc.2020.09.004</w:t>
      </w:r>
    </w:p>
    <w:p w14:paraId="47E8783E"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Byrkjeflot, H., du Gay, P., &amp; Greve, C. (2018). What is the ‘Neo-Weberian State’as a Regime of </w:t>
      </w:r>
      <w:r w:rsidRPr="00B10561">
        <w:rPr>
          <w:noProof/>
          <w:sz w:val="22"/>
        </w:rPr>
        <w:lastRenderedPageBreak/>
        <w:t xml:space="preserve">Public Administration? In </w:t>
      </w:r>
      <w:r w:rsidRPr="00B10561">
        <w:rPr>
          <w:i/>
          <w:iCs/>
          <w:noProof/>
          <w:sz w:val="22"/>
        </w:rPr>
        <w:t>The Palgrave handbook of public administration and management in Europe</w:t>
      </w:r>
      <w:r w:rsidRPr="00B10561">
        <w:rPr>
          <w:noProof/>
          <w:sz w:val="22"/>
        </w:rPr>
        <w:t xml:space="preserve"> (pp. 991–1009). Springer. https://doi.org/10.1057/978-1-137-55269-3_2</w:t>
      </w:r>
    </w:p>
    <w:p w14:paraId="3C59C6B4"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Darwis, R. S., Resnawati, R., &amp; Hidayat, E. N. (2022). Institutional Network Structure in Citarum Watershed Management. </w:t>
      </w:r>
      <w:r w:rsidRPr="00B10561">
        <w:rPr>
          <w:i/>
          <w:iCs/>
          <w:noProof/>
          <w:sz w:val="22"/>
        </w:rPr>
        <w:t>Sosiohumaniora</w:t>
      </w:r>
      <w:r w:rsidRPr="00B10561">
        <w:rPr>
          <w:noProof/>
          <w:sz w:val="22"/>
        </w:rPr>
        <w:t xml:space="preserve">, </w:t>
      </w:r>
      <w:r w:rsidRPr="00B10561">
        <w:rPr>
          <w:i/>
          <w:iCs/>
          <w:noProof/>
          <w:sz w:val="22"/>
        </w:rPr>
        <w:t>24</w:t>
      </w:r>
      <w:r w:rsidRPr="00B10561">
        <w:rPr>
          <w:noProof/>
          <w:sz w:val="22"/>
        </w:rPr>
        <w:t>(2), 263. https://doi.org/10.24198/sosiohumaniora.v24i2.38395</w:t>
      </w:r>
    </w:p>
    <w:p w14:paraId="5B28BB9C"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Denhardt, R. B., &amp; Denhardt, J. V. (2003). The new public service: An approach to reform. </w:t>
      </w:r>
      <w:r w:rsidRPr="00B10561">
        <w:rPr>
          <w:i/>
          <w:iCs/>
          <w:noProof/>
          <w:sz w:val="22"/>
        </w:rPr>
        <w:t>International Review of Public Administration</w:t>
      </w:r>
      <w:r w:rsidRPr="00B10561">
        <w:rPr>
          <w:noProof/>
          <w:sz w:val="22"/>
        </w:rPr>
        <w:t xml:space="preserve">, </w:t>
      </w:r>
      <w:r w:rsidRPr="00B10561">
        <w:rPr>
          <w:i/>
          <w:iCs/>
          <w:noProof/>
          <w:sz w:val="22"/>
        </w:rPr>
        <w:t>8</w:t>
      </w:r>
      <w:r w:rsidRPr="00B10561">
        <w:rPr>
          <w:noProof/>
          <w:sz w:val="22"/>
        </w:rPr>
        <w:t>(1), 3–10. https://doi.org/10.1080/12294659.2003.10805013</w:t>
      </w:r>
    </w:p>
    <w:p w14:paraId="44B22FCE"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Frederickson, G., Smith, K. B., Larimer, C. W., &amp; Licari, M. J. (2012). </w:t>
      </w:r>
      <w:r w:rsidRPr="00B10561">
        <w:rPr>
          <w:i/>
          <w:iCs/>
          <w:noProof/>
          <w:sz w:val="22"/>
        </w:rPr>
        <w:t>The Public Administration Theory Primer</w:t>
      </w:r>
      <w:r w:rsidRPr="00B10561">
        <w:rPr>
          <w:noProof/>
          <w:sz w:val="22"/>
        </w:rPr>
        <w:t>. Westview Press.</w:t>
      </w:r>
    </w:p>
    <w:p w14:paraId="02E0CD67"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Hassett, M. P. (2022). The Effect of Access to Training and Development Opportunities, on Rates of Work Engagement, Within the U.S. Federal Workforce. </w:t>
      </w:r>
      <w:r w:rsidRPr="00B10561">
        <w:rPr>
          <w:i/>
          <w:iCs/>
          <w:noProof/>
          <w:sz w:val="22"/>
        </w:rPr>
        <w:t>Public Personnel Management</w:t>
      </w:r>
      <w:r w:rsidRPr="00B10561">
        <w:rPr>
          <w:noProof/>
          <w:sz w:val="22"/>
        </w:rPr>
        <w:t xml:space="preserve">, </w:t>
      </w:r>
      <w:r w:rsidRPr="00B10561">
        <w:rPr>
          <w:i/>
          <w:iCs/>
          <w:noProof/>
          <w:sz w:val="22"/>
        </w:rPr>
        <w:t>51</w:t>
      </w:r>
      <w:r w:rsidRPr="00B10561">
        <w:rPr>
          <w:noProof/>
          <w:sz w:val="22"/>
        </w:rPr>
        <w:t>(3), 380–404. https://doi.org/10.1177/00910260221098189</w:t>
      </w:r>
    </w:p>
    <w:p w14:paraId="05349A8D"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Jones, G. N. (1970). Failure of Technical Assistance in Public Administration Abroad: A Personal Note. </w:t>
      </w:r>
      <w:r w:rsidRPr="00B10561">
        <w:rPr>
          <w:i/>
          <w:iCs/>
          <w:noProof/>
          <w:sz w:val="22"/>
        </w:rPr>
        <w:t>Journal of Comparative Administration</w:t>
      </w:r>
      <w:r w:rsidRPr="00B10561">
        <w:rPr>
          <w:noProof/>
          <w:sz w:val="22"/>
        </w:rPr>
        <w:t xml:space="preserve">, </w:t>
      </w:r>
      <w:r w:rsidRPr="00B10561">
        <w:rPr>
          <w:i/>
          <w:iCs/>
          <w:noProof/>
          <w:sz w:val="22"/>
        </w:rPr>
        <w:t>2</w:t>
      </w:r>
      <w:r w:rsidRPr="00B10561">
        <w:rPr>
          <w:noProof/>
          <w:sz w:val="22"/>
        </w:rPr>
        <w:t>(1), 3–51.</w:t>
      </w:r>
    </w:p>
    <w:p w14:paraId="4E19B431"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Li, Y., &amp; Wagenaar, H. (2019). Revisiting deliberative policy analysis. </w:t>
      </w:r>
      <w:r w:rsidRPr="00B10561">
        <w:rPr>
          <w:i/>
          <w:iCs/>
          <w:noProof/>
          <w:sz w:val="22"/>
        </w:rPr>
        <w:t>Policy Studies</w:t>
      </w:r>
      <w:r w:rsidRPr="00B10561">
        <w:rPr>
          <w:noProof/>
          <w:sz w:val="22"/>
        </w:rPr>
        <w:t xml:space="preserve">, </w:t>
      </w:r>
      <w:r w:rsidRPr="00B10561">
        <w:rPr>
          <w:i/>
          <w:iCs/>
          <w:noProof/>
          <w:sz w:val="22"/>
        </w:rPr>
        <w:t>40</w:t>
      </w:r>
      <w:r w:rsidRPr="00B10561">
        <w:rPr>
          <w:noProof/>
          <w:sz w:val="22"/>
        </w:rPr>
        <w:t>(5), 427–436. https://doi.org/10.1080/01442872.2019.1618813</w:t>
      </w:r>
    </w:p>
    <w:p w14:paraId="4B22A9A3"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McNulty, T., &amp; Ferlie, E. (2004). Process transformation: Limitations to radical organizational change within public service organizations. </w:t>
      </w:r>
      <w:r w:rsidRPr="00B10561">
        <w:rPr>
          <w:i/>
          <w:iCs/>
          <w:noProof/>
          <w:sz w:val="22"/>
        </w:rPr>
        <w:t>Organization Studies</w:t>
      </w:r>
      <w:r w:rsidRPr="00B10561">
        <w:rPr>
          <w:noProof/>
          <w:sz w:val="22"/>
        </w:rPr>
        <w:t xml:space="preserve">, </w:t>
      </w:r>
      <w:r w:rsidRPr="00B10561">
        <w:rPr>
          <w:i/>
          <w:iCs/>
          <w:noProof/>
          <w:sz w:val="22"/>
        </w:rPr>
        <w:t>25</w:t>
      </w:r>
      <w:r w:rsidRPr="00B10561">
        <w:rPr>
          <w:noProof/>
          <w:sz w:val="22"/>
        </w:rPr>
        <w:t>(8), 1389–1412. https://doi.org/10.1177/0170840604046349</w:t>
      </w:r>
    </w:p>
    <w:p w14:paraId="0BD2A7B6"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Pagani, M., &amp; Pardo, C. (2017). The impact of digital technology on relationships in a business network. </w:t>
      </w:r>
      <w:r w:rsidRPr="00B10561">
        <w:rPr>
          <w:i/>
          <w:iCs/>
          <w:noProof/>
          <w:sz w:val="22"/>
        </w:rPr>
        <w:t>Industrial Marketing Management</w:t>
      </w:r>
      <w:r w:rsidRPr="00B10561">
        <w:rPr>
          <w:noProof/>
          <w:sz w:val="22"/>
        </w:rPr>
        <w:t xml:space="preserve">, </w:t>
      </w:r>
      <w:r w:rsidRPr="00B10561">
        <w:rPr>
          <w:i/>
          <w:iCs/>
          <w:noProof/>
          <w:sz w:val="22"/>
        </w:rPr>
        <w:t>67</w:t>
      </w:r>
      <w:r w:rsidRPr="00B10561">
        <w:rPr>
          <w:noProof/>
          <w:sz w:val="22"/>
        </w:rPr>
        <w:t>, 185–192. https://doi.org/https://doi.org/10.1016/j.indmarman.2017.08.009</w:t>
      </w:r>
    </w:p>
    <w:p w14:paraId="2B78AE43"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Pulignano, V., Carrieri, D., &amp; Baccaro, L. (2018). Industrial relations in Italy in the twenty-first century. </w:t>
      </w:r>
      <w:r w:rsidRPr="00B10561">
        <w:rPr>
          <w:i/>
          <w:iCs/>
          <w:noProof/>
          <w:sz w:val="22"/>
        </w:rPr>
        <w:t>Employee Relations</w:t>
      </w:r>
      <w:r w:rsidRPr="00B10561">
        <w:rPr>
          <w:noProof/>
          <w:sz w:val="22"/>
        </w:rPr>
        <w:t>.</w:t>
      </w:r>
    </w:p>
    <w:p w14:paraId="4FC1FC35"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Siemiatycki, M. (2011). Urban transportation public–private partnerships: drivers of uneven development? </w:t>
      </w:r>
      <w:r w:rsidRPr="00B10561">
        <w:rPr>
          <w:i/>
          <w:iCs/>
          <w:noProof/>
          <w:sz w:val="22"/>
        </w:rPr>
        <w:t>Environment and Planning A</w:t>
      </w:r>
      <w:r w:rsidRPr="00B10561">
        <w:rPr>
          <w:noProof/>
          <w:sz w:val="22"/>
        </w:rPr>
        <w:t xml:space="preserve">, </w:t>
      </w:r>
      <w:r w:rsidRPr="00B10561">
        <w:rPr>
          <w:i/>
          <w:iCs/>
          <w:noProof/>
          <w:sz w:val="22"/>
        </w:rPr>
        <w:t>43</w:t>
      </w:r>
      <w:r w:rsidRPr="00B10561">
        <w:rPr>
          <w:noProof/>
          <w:sz w:val="22"/>
        </w:rPr>
        <w:t>(7), 1707–1722.</w:t>
      </w:r>
    </w:p>
    <w:p w14:paraId="5FF55C1D"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Vosoughi, F., Nikoo, M. R., Rakhshandehroo, G., &amp; Gandomi, A. H. (2021). Experimental dataset on water levels, sediment depths and wave front celerity values in the study of multiphase shock wave for different initial up- and down-stream conditions. </w:t>
      </w:r>
      <w:r w:rsidRPr="00B10561">
        <w:rPr>
          <w:i/>
          <w:iCs/>
          <w:noProof/>
          <w:sz w:val="22"/>
        </w:rPr>
        <w:t>Data in Brief</w:t>
      </w:r>
      <w:r w:rsidRPr="00B10561">
        <w:rPr>
          <w:noProof/>
          <w:sz w:val="22"/>
        </w:rPr>
        <w:t xml:space="preserve">, </w:t>
      </w:r>
      <w:r w:rsidRPr="00B10561">
        <w:rPr>
          <w:i/>
          <w:iCs/>
          <w:noProof/>
          <w:sz w:val="22"/>
        </w:rPr>
        <w:t>36</w:t>
      </w:r>
      <w:r w:rsidRPr="00B10561">
        <w:rPr>
          <w:noProof/>
          <w:sz w:val="22"/>
        </w:rPr>
        <w:t>, 107082. https://doi.org/https://doi.org/10.1016/j.dib.2021.107082</w:t>
      </w:r>
    </w:p>
    <w:p w14:paraId="62DB9CB9" w14:textId="77777777" w:rsidR="00B10561" w:rsidRPr="00B10561" w:rsidRDefault="00B10561" w:rsidP="00B10561">
      <w:pPr>
        <w:widowControl w:val="0"/>
        <w:autoSpaceDE w:val="0"/>
        <w:autoSpaceDN w:val="0"/>
        <w:adjustRightInd w:val="0"/>
        <w:spacing w:before="120"/>
        <w:ind w:left="480" w:hanging="480"/>
        <w:jc w:val="both"/>
        <w:rPr>
          <w:noProof/>
          <w:sz w:val="22"/>
        </w:rPr>
      </w:pPr>
      <w:r w:rsidRPr="00B10561">
        <w:rPr>
          <w:noProof/>
          <w:sz w:val="22"/>
        </w:rPr>
        <w:t xml:space="preserve">Ziadi, A. R., Supriyono, B., &amp; Wijaya, A. F. (2016). The Effectiveness of Information System in Public Complaint Service: An Implementation of E-Government based on Jakarta Smart City Applications. </w:t>
      </w:r>
      <w:r w:rsidRPr="00B10561">
        <w:rPr>
          <w:i/>
          <w:iCs/>
          <w:noProof/>
          <w:sz w:val="22"/>
        </w:rPr>
        <w:t>Global Journal of Management and Business Research: A Administration and Management</w:t>
      </w:r>
      <w:r w:rsidRPr="00B10561">
        <w:rPr>
          <w:noProof/>
          <w:sz w:val="22"/>
        </w:rPr>
        <w:t xml:space="preserve">, </w:t>
      </w:r>
      <w:r w:rsidRPr="00B10561">
        <w:rPr>
          <w:i/>
          <w:iCs/>
          <w:noProof/>
          <w:sz w:val="22"/>
        </w:rPr>
        <w:t>16</w:t>
      </w:r>
      <w:r w:rsidRPr="00B10561">
        <w:rPr>
          <w:noProof/>
          <w:sz w:val="22"/>
        </w:rPr>
        <w:t>(8), 53–57.</w:t>
      </w:r>
    </w:p>
    <w:p w14:paraId="3F4FFF03" w14:textId="18C36F04" w:rsidR="006C381E" w:rsidRPr="00B10561" w:rsidRDefault="00B10561" w:rsidP="00B10561">
      <w:pPr>
        <w:pStyle w:val="ListParagraph"/>
        <w:spacing w:before="120"/>
        <w:ind w:left="567" w:hanging="567"/>
        <w:jc w:val="both"/>
        <w:rPr>
          <w:color w:val="000000" w:themeColor="text1"/>
          <w:sz w:val="22"/>
        </w:rPr>
      </w:pPr>
      <w:r w:rsidRPr="00B10561">
        <w:rPr>
          <w:color w:val="000000" w:themeColor="text1"/>
          <w:sz w:val="22"/>
        </w:rPr>
        <w:fldChar w:fldCharType="end"/>
      </w:r>
    </w:p>
    <w:sectPr w:rsidR="006C381E" w:rsidRPr="00B10561" w:rsidSect="00E778F4">
      <w:headerReference w:type="even" r:id="rId11"/>
      <w:headerReference w:type="default" r:id="rId12"/>
      <w:footerReference w:type="even" r:id="rId13"/>
      <w:footerReference w:type="default" r:id="rId14"/>
      <w:headerReference w:type="first" r:id="rId15"/>
      <w:footerReference w:type="first" r:id="rId16"/>
      <w:pgSz w:w="11906" w:h="16838" w:code="9"/>
      <w:pgMar w:top="2552" w:right="1743" w:bottom="1701" w:left="1701" w:header="1276" w:footer="2268"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6F0A" w14:textId="77777777" w:rsidR="00A1016E" w:rsidRDefault="00A1016E" w:rsidP="008855E2">
      <w:r>
        <w:separator/>
      </w:r>
    </w:p>
  </w:endnote>
  <w:endnote w:type="continuationSeparator" w:id="0">
    <w:p w14:paraId="5DC8F370" w14:textId="77777777" w:rsidR="00A1016E" w:rsidRDefault="00A1016E" w:rsidP="0088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A308" w14:textId="77777777" w:rsidR="00E778F4" w:rsidRDefault="00E7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E41C" w14:textId="77777777" w:rsidR="00E778F4" w:rsidRDefault="00E77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5DE" w14:textId="77777777" w:rsidR="00882AAF" w:rsidRDefault="00882AAF">
    <w:pPr>
      <w:pStyle w:val="Footer"/>
      <w:rPr>
        <w:sz w:val="20"/>
        <w:szCs w:val="20"/>
      </w:rPr>
    </w:pPr>
  </w:p>
  <w:p w14:paraId="1C9F5573" w14:textId="77777777" w:rsidR="00882AAF" w:rsidRDefault="00882AA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6F51" w14:textId="77777777" w:rsidR="00A1016E" w:rsidRDefault="00A1016E" w:rsidP="008855E2">
      <w:r>
        <w:separator/>
      </w:r>
    </w:p>
  </w:footnote>
  <w:footnote w:type="continuationSeparator" w:id="0">
    <w:p w14:paraId="4E9C03C8" w14:textId="77777777" w:rsidR="00A1016E" w:rsidRDefault="00A1016E" w:rsidP="0088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32E" w14:textId="07FA34EF" w:rsidR="00882AAF" w:rsidRPr="00B94A99" w:rsidRDefault="003D0A5F" w:rsidP="00B94A99">
    <w:pPr>
      <w:jc w:val="both"/>
      <w:rPr>
        <w:rFonts w:ascii="Constantia" w:hAnsi="Constantia"/>
        <w:b/>
        <w:sz w:val="18"/>
        <w:szCs w:val="18"/>
        <w:lang w:val="id-ID"/>
      </w:rPr>
    </w:pPr>
    <w:r w:rsidRPr="002851BF">
      <w:rPr>
        <w:rFonts w:ascii="Constantia" w:hAnsi="Constantia"/>
        <w:noProof/>
        <w:sz w:val="28"/>
        <w:szCs w:val="28"/>
        <w:lang w:val="en-US"/>
      </w:rPr>
      <mc:AlternateContent>
        <mc:Choice Requires="wps">
          <w:drawing>
            <wp:anchor distT="0" distB="0" distL="114300" distR="114300" simplePos="0" relativeHeight="251657216" behindDoc="0" locked="0" layoutInCell="1" allowOverlap="1" wp14:anchorId="3DF8C5DF" wp14:editId="53DE0888">
              <wp:simplePos x="0" y="0"/>
              <wp:positionH relativeFrom="column">
                <wp:posOffset>297180</wp:posOffset>
              </wp:positionH>
              <wp:positionV relativeFrom="paragraph">
                <wp:posOffset>86995</wp:posOffset>
              </wp:positionV>
              <wp:extent cx="635" cy="180975"/>
              <wp:effectExtent l="13335" t="11430" r="14605"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EE208" id="_x0000_t32" coordsize="21600,21600" o:spt="32" o:oned="t" path="m,l21600,21600e" filled="f">
              <v:path arrowok="t" fillok="f" o:connecttype="none"/>
              <o:lock v:ext="edit" shapetype="t"/>
            </v:shapetype>
            <v:shape id="AutoShape 1" o:spid="_x0000_s1026" type="#_x0000_t32" style="position:absolute;margin-left:23.4pt;margin-top:6.85pt;width:.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" strokecolor="#a5a5a5" strokeweight="1.5pt"/>
          </w:pict>
        </mc:Fallback>
      </mc:AlternateContent>
    </w:r>
    <w:r w:rsidR="00882AAF" w:rsidRPr="002851BF">
      <w:rPr>
        <w:rFonts w:ascii="Constantia" w:hAnsi="Constantia"/>
        <w:sz w:val="28"/>
        <w:szCs w:val="28"/>
      </w:rPr>
      <w:fldChar w:fldCharType="begin"/>
    </w:r>
    <w:r w:rsidR="00882AAF" w:rsidRPr="002851BF">
      <w:rPr>
        <w:rFonts w:ascii="Constantia" w:hAnsi="Constantia"/>
        <w:sz w:val="28"/>
        <w:szCs w:val="28"/>
      </w:rPr>
      <w:instrText xml:space="preserve"> PAGE   \* MERGEFORMAT </w:instrText>
    </w:r>
    <w:r w:rsidR="00882AAF" w:rsidRPr="002851BF">
      <w:rPr>
        <w:rFonts w:ascii="Constantia" w:hAnsi="Constantia"/>
        <w:sz w:val="28"/>
        <w:szCs w:val="28"/>
      </w:rPr>
      <w:fldChar w:fldCharType="separate"/>
    </w:r>
    <w:r w:rsidR="00882AAF">
      <w:rPr>
        <w:rFonts w:ascii="Constantia" w:hAnsi="Constantia"/>
        <w:noProof/>
        <w:sz w:val="28"/>
        <w:szCs w:val="28"/>
      </w:rPr>
      <w:t>260</w:t>
    </w:r>
    <w:r w:rsidR="00882AAF" w:rsidRPr="002851BF">
      <w:rPr>
        <w:rFonts w:ascii="Constantia" w:hAnsi="Constantia"/>
        <w:noProof/>
        <w:sz w:val="28"/>
        <w:szCs w:val="28"/>
      </w:rPr>
      <w:fldChar w:fldCharType="end"/>
    </w:r>
    <w:r w:rsidR="00882AAF">
      <w:rPr>
        <w:noProof/>
      </w:rPr>
      <w:t xml:space="preserve"> </w:t>
    </w:r>
    <w:r w:rsidR="000224F6">
      <w:rPr>
        <w:noProof/>
      </w:rPr>
      <w:t xml:space="preserve"> </w:t>
    </w:r>
    <w:r w:rsidR="00340AF8">
      <w:rPr>
        <w:noProof/>
      </w:rPr>
      <w:t xml:space="preserve">   </w:t>
    </w:r>
    <w:r w:rsidR="00882AAF" w:rsidRPr="00AF3E21">
      <w:rPr>
        <w:rFonts w:ascii="Constantia" w:hAnsi="Constantia"/>
        <w:b/>
        <w:sz w:val="18"/>
        <w:szCs w:val="18"/>
        <w:lang w:val="id-ID"/>
      </w:rPr>
      <w:t>Pinisi Discretion Review</w:t>
    </w:r>
  </w:p>
  <w:p w14:paraId="2BA611CE" w14:textId="4847AC8E" w:rsidR="00882AAF" w:rsidRPr="00FD5412" w:rsidRDefault="000224F6" w:rsidP="00FD5412">
    <w:pPr>
      <w:ind w:left="476"/>
      <w:jc w:val="both"/>
    </w:pPr>
    <w:r w:rsidRPr="00FD5412">
      <w:rPr>
        <w:rFonts w:ascii="Constantia" w:hAnsi="Constantia"/>
        <w:sz w:val="18"/>
        <w:szCs w:val="18"/>
        <w:lang w:val="en-US"/>
      </w:rPr>
      <w:t xml:space="preserve"> </w:t>
    </w:r>
    <w:r w:rsidR="002C638E">
      <w:rPr>
        <w:rFonts w:ascii="Constantia" w:eastAsia="Constantia" w:hAnsi="Constantia" w:cs="Constantia"/>
        <w:sz w:val="18"/>
        <w:szCs w:val="18"/>
      </w:rPr>
      <w:t xml:space="preserve">Volume </w:t>
    </w:r>
    <w:r w:rsidR="0002665C">
      <w:rPr>
        <w:rFonts w:ascii="Constantia" w:eastAsia="Constantia" w:hAnsi="Constantia" w:cs="Constantia"/>
        <w:sz w:val="18"/>
        <w:szCs w:val="18"/>
      </w:rPr>
      <w:t>7</w:t>
    </w:r>
    <w:r w:rsidR="002C638E">
      <w:rPr>
        <w:rFonts w:ascii="Constantia" w:eastAsia="Constantia" w:hAnsi="Constantia" w:cs="Constantia"/>
        <w:sz w:val="18"/>
        <w:szCs w:val="18"/>
      </w:rPr>
      <w:t xml:space="preserve">, Issue </w:t>
    </w:r>
    <w:r w:rsidR="0002665C">
      <w:rPr>
        <w:rFonts w:ascii="Constantia" w:eastAsia="Constantia" w:hAnsi="Constantia" w:cs="Constantia"/>
        <w:sz w:val="18"/>
        <w:szCs w:val="18"/>
      </w:rPr>
      <w:t>1</w:t>
    </w:r>
    <w:r w:rsidR="002C638E">
      <w:rPr>
        <w:rFonts w:ascii="Constantia" w:eastAsia="Constantia" w:hAnsi="Constantia" w:cs="Constantia"/>
        <w:sz w:val="18"/>
        <w:szCs w:val="18"/>
      </w:rPr>
      <w:t xml:space="preserve">, </w:t>
    </w:r>
    <w:r w:rsidR="0002665C">
      <w:rPr>
        <w:rFonts w:ascii="Constantia" w:eastAsia="Constantia" w:hAnsi="Constantia" w:cs="Constantia"/>
        <w:sz w:val="18"/>
        <w:szCs w:val="18"/>
      </w:rPr>
      <w:t xml:space="preserve">September </w:t>
    </w:r>
    <w:r w:rsidR="002C638E">
      <w:rPr>
        <w:rFonts w:ascii="Constantia" w:eastAsia="Constantia" w:hAnsi="Constantia" w:cs="Constantia"/>
        <w:sz w:val="18"/>
        <w:szCs w:val="18"/>
      </w:rPr>
      <w:t>202</w:t>
    </w:r>
    <w:r w:rsidR="0002665C">
      <w:rPr>
        <w:rFonts w:ascii="Constantia" w:eastAsia="Constantia" w:hAnsi="Constantia" w:cs="Constantia"/>
        <w:sz w:val="18"/>
        <w:szCs w:val="18"/>
      </w:rPr>
      <w:t>3</w:t>
    </w:r>
    <w:r w:rsidR="002C638E">
      <w:rPr>
        <w:rFonts w:ascii="Constantia" w:eastAsia="Constantia" w:hAnsi="Constantia" w:cs="Constantia"/>
        <w:sz w:val="18"/>
        <w:szCs w:val="18"/>
      </w:rPr>
      <w:t xml:space="preserve">  Page. </w:t>
    </w:r>
    <w:r w:rsidR="00E778F4">
      <w:rPr>
        <w:rFonts w:ascii="Constantia" w:eastAsia="Constantia" w:hAnsi="Constantia" w:cs="Constantia"/>
        <w:sz w:val="18"/>
        <w:szCs w:val="18"/>
      </w:rPr>
      <w:t>53</w:t>
    </w:r>
    <w:r w:rsidR="000C0A9A" w:rsidRPr="000C0A9A">
      <w:rPr>
        <w:rFonts w:ascii="Constantia" w:eastAsia="Constantia" w:hAnsi="Constantia" w:cs="Constantia"/>
        <w:sz w:val="18"/>
        <w:szCs w:val="18"/>
      </w:rPr>
      <w:t>-</w:t>
    </w:r>
    <w:r w:rsidR="00355F5D">
      <w:rPr>
        <w:rFonts w:ascii="Constantia" w:eastAsia="Constantia" w:hAnsi="Constantia" w:cs="Constantia"/>
        <w:sz w:val="18"/>
        <w:szCs w:val="18"/>
      </w:rPr>
      <w:t>5</w:t>
    </w:r>
    <w:r w:rsidR="00E778F4">
      <w:rPr>
        <w:rFonts w:ascii="Constantia" w:eastAsia="Constantia" w:hAnsi="Constantia" w:cs="Constantia"/>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E30D" w14:textId="5128231B" w:rsidR="00882AAF" w:rsidRPr="00F42BB2" w:rsidRDefault="00264A8E" w:rsidP="00F42BB2">
    <w:pPr>
      <w:pStyle w:val="Header"/>
      <w:tabs>
        <w:tab w:val="left" w:pos="1134"/>
      </w:tabs>
      <w:jc w:val="right"/>
      <w:rPr>
        <w:b/>
        <w:bCs/>
        <w:i/>
        <w:iCs/>
        <w:color w:val="000000"/>
        <w:sz w:val="18"/>
        <w:szCs w:val="18"/>
      </w:rPr>
    </w:pPr>
    <w:r w:rsidRPr="00264A8E">
      <w:rPr>
        <w:rFonts w:ascii="Constantia" w:eastAsia="Constantia" w:hAnsi="Constantia" w:cs="Constantia"/>
        <w:i/>
        <w:color w:val="000000"/>
        <w:sz w:val="18"/>
        <w:szCs w:val="18"/>
      </w:rPr>
      <w:t>Moeh. Kay Muddin Asnur</w:t>
    </w:r>
    <w:r>
      <w:rPr>
        <w:rFonts w:ascii="Constantia" w:eastAsia="Constantia" w:hAnsi="Constantia" w:cs="Constantia"/>
        <w:i/>
        <w:color w:val="000000"/>
        <w:sz w:val="18"/>
        <w:szCs w:val="18"/>
      </w:rPr>
      <w:t xml:space="preserve"> et.al.</w:t>
    </w:r>
    <w:r w:rsidR="002C638E" w:rsidRPr="00324C24">
      <w:rPr>
        <w:rFonts w:ascii="Constantia" w:eastAsia="Constantia" w:hAnsi="Constantia" w:cs="Constantia"/>
        <w:i/>
        <w:color w:val="000000"/>
        <w:sz w:val="18"/>
        <w:szCs w:val="18"/>
      </w:rPr>
      <w:t>;</w:t>
    </w:r>
    <w:r w:rsidR="002C638E" w:rsidRPr="00324C24">
      <w:rPr>
        <w:color w:val="000000"/>
      </w:rPr>
      <w:t xml:space="preserve"> </w:t>
    </w:r>
    <w:r w:rsidRPr="00264A8E">
      <w:rPr>
        <w:i/>
        <w:color w:val="000000"/>
        <w:sz w:val="18"/>
        <w:szCs w:val="18"/>
      </w:rPr>
      <w:t>Evaluation of the Impact of Sediment Material Usage</w:t>
    </w:r>
    <w:r w:rsidR="00E3725F" w:rsidRPr="00E3725F">
      <w:rPr>
        <w:i/>
        <w:color w:val="000000"/>
        <w:sz w:val="18"/>
        <w:szCs w:val="18"/>
      </w:rPr>
      <w:t xml:space="preserve"> </w:t>
    </w:r>
    <w:r w:rsidR="003669F0">
      <w:rPr>
        <w:b/>
        <w:bCs/>
        <w:i/>
        <w:iCs/>
        <w:color w:val="000000"/>
        <w:sz w:val="18"/>
        <w:szCs w:val="18"/>
      </w:rPr>
      <w:t>…</w:t>
    </w:r>
    <w:r w:rsidR="003669F0" w:rsidRPr="003669F0">
      <w:rPr>
        <w:b/>
        <w:bCs/>
        <w:i/>
        <w:iCs/>
        <w:color w:val="000000"/>
        <w:sz w:val="18"/>
        <w:szCs w:val="18"/>
      </w:rPr>
      <w:t xml:space="preserve"> </w:t>
    </w:r>
    <w:r w:rsidR="00882AAF" w:rsidRPr="00F75743">
      <w:rPr>
        <w:rFonts w:ascii="Constantia" w:hAnsi="Constantia"/>
        <w:b/>
        <w:i/>
        <w:iCs/>
        <w:color w:val="000000"/>
        <w:sz w:val="18"/>
        <w:szCs w:val="18"/>
      </w:rPr>
      <w:t>|</w:t>
    </w:r>
    <w:r w:rsidR="00882AAF" w:rsidRPr="003462F2">
      <w:rPr>
        <w:rFonts w:ascii="Constantia" w:hAnsi="Constantia"/>
        <w:sz w:val="28"/>
        <w:szCs w:val="28"/>
      </w:rPr>
      <w:fldChar w:fldCharType="begin"/>
    </w:r>
    <w:r w:rsidR="00882AAF" w:rsidRPr="00D41685">
      <w:rPr>
        <w:rFonts w:ascii="Constantia" w:hAnsi="Constantia"/>
        <w:sz w:val="28"/>
        <w:szCs w:val="28"/>
      </w:rPr>
      <w:instrText xml:space="preserve"> PAGE   \* MERGEFORMAT </w:instrText>
    </w:r>
    <w:r w:rsidR="00882AAF" w:rsidRPr="003462F2">
      <w:rPr>
        <w:rFonts w:ascii="Constantia" w:hAnsi="Constantia"/>
        <w:sz w:val="28"/>
        <w:szCs w:val="28"/>
      </w:rPr>
      <w:fldChar w:fldCharType="separate"/>
    </w:r>
    <w:r w:rsidR="00882AAF">
      <w:rPr>
        <w:rFonts w:ascii="Constantia" w:hAnsi="Constantia"/>
        <w:noProof/>
        <w:sz w:val="28"/>
        <w:szCs w:val="28"/>
      </w:rPr>
      <w:t>261</w:t>
    </w:r>
    <w:r w:rsidR="00882AAF" w:rsidRPr="003462F2">
      <w:rPr>
        <w:rFonts w:ascii="Constantia" w:hAnsi="Constantia"/>
        <w:noProof/>
        <w:sz w:val="28"/>
        <w:szCs w:val="28"/>
      </w:rPr>
      <w:fldChar w:fldCharType="end"/>
    </w:r>
  </w:p>
  <w:p w14:paraId="2B912538" w14:textId="77777777" w:rsidR="00882AAF" w:rsidRDefault="00882AAF"/>
  <w:p w14:paraId="7A4D915C" w14:textId="77777777" w:rsidR="00882AAF" w:rsidRDefault="00882A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2B4A" w14:textId="62FD3107" w:rsidR="00882AAF" w:rsidRPr="000428A6" w:rsidRDefault="003D0A5F" w:rsidP="00A4596A">
    <w:pPr>
      <w:pStyle w:val="Heading2"/>
      <w:tabs>
        <w:tab w:val="left" w:pos="2694"/>
      </w:tabs>
      <w:spacing w:before="0" w:after="0"/>
      <w:rPr>
        <w:rFonts w:ascii="Cambria" w:hAnsi="Cambria"/>
        <w:sz w:val="26"/>
        <w:szCs w:val="24"/>
        <w:lang w:val="en-US"/>
      </w:rPr>
    </w:pPr>
    <w:r>
      <w:rPr>
        <w:rFonts w:ascii="Cambria" w:hAnsi="Cambria"/>
        <w:b w:val="0"/>
        <w:i w:val="0"/>
        <w:noProof/>
        <w:sz w:val="24"/>
        <w:szCs w:val="24"/>
      </w:rPr>
      <w:drawing>
        <wp:anchor distT="0" distB="0" distL="114300" distR="114300" simplePos="0" relativeHeight="251658240" behindDoc="0" locked="0" layoutInCell="1" allowOverlap="1" wp14:anchorId="0BCBD375" wp14:editId="26D20B03">
          <wp:simplePos x="0" y="0"/>
          <wp:positionH relativeFrom="column">
            <wp:posOffset>-6985</wp:posOffset>
          </wp:positionH>
          <wp:positionV relativeFrom="paragraph">
            <wp:posOffset>38100</wp:posOffset>
          </wp:positionV>
          <wp:extent cx="1508125"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518160"/>
                  </a:xfrm>
                  <a:prstGeom prst="rect">
                    <a:avLst/>
                  </a:prstGeom>
                  <a:noFill/>
                </pic:spPr>
              </pic:pic>
            </a:graphicData>
          </a:graphic>
          <wp14:sizeRelH relativeFrom="page">
            <wp14:pctWidth>0</wp14:pctWidth>
          </wp14:sizeRelH>
          <wp14:sizeRelV relativeFrom="page">
            <wp14:pctHeight>0</wp14:pctHeight>
          </wp14:sizeRelV>
        </wp:anchor>
      </w:drawing>
    </w:r>
    <w:r w:rsidR="00882AAF" w:rsidRPr="0027006B">
      <w:rPr>
        <w:rFonts w:ascii="Cambria" w:hAnsi="Cambria"/>
        <w:b w:val="0"/>
        <w:i w:val="0"/>
        <w:sz w:val="24"/>
        <w:szCs w:val="24"/>
      </w:rPr>
      <w:t xml:space="preserve">                                      </w:t>
    </w:r>
    <w:r w:rsidR="00882AAF">
      <w:rPr>
        <w:rFonts w:ascii="Cambria" w:hAnsi="Cambria"/>
        <w:b w:val="0"/>
        <w:i w:val="0"/>
        <w:sz w:val="24"/>
        <w:szCs w:val="24"/>
      </w:rPr>
      <w:tab/>
    </w:r>
    <w:bookmarkStart w:id="1" w:name="_Hlk31387030"/>
    <w:r w:rsidR="00882AAF">
      <w:rPr>
        <w:rFonts w:ascii="Cambria" w:hAnsi="Cambria"/>
        <w:sz w:val="30"/>
        <w:szCs w:val="24"/>
        <w:lang w:val="en-US"/>
      </w:rPr>
      <w:t>Pinisi Discretion Review</w:t>
    </w:r>
    <w:bookmarkEnd w:id="1"/>
  </w:p>
  <w:p w14:paraId="61A6AED1" w14:textId="081AF436" w:rsidR="00882AAF" w:rsidRPr="00FD5412" w:rsidRDefault="00882AAF" w:rsidP="00A4596A">
    <w:pPr>
      <w:pStyle w:val="Header"/>
      <w:tabs>
        <w:tab w:val="left" w:pos="1985"/>
        <w:tab w:val="left" w:pos="2694"/>
        <w:tab w:val="right" w:pos="8931"/>
      </w:tabs>
      <w:jc w:val="both"/>
      <w:rPr>
        <w:iCs/>
        <w:lang w:val="en-US"/>
      </w:rPr>
    </w:pPr>
    <w:r>
      <w:rPr>
        <w:i/>
        <w:lang w:val="id-ID"/>
      </w:rPr>
      <w:tab/>
    </w:r>
    <w:r>
      <w:rPr>
        <w:i/>
        <w:lang w:val="id-ID"/>
      </w:rPr>
      <w:tab/>
    </w:r>
    <w:r w:rsidRPr="00623C67">
      <w:rPr>
        <w:iCs/>
        <w:lang w:val="id-ID"/>
      </w:rPr>
      <w:t xml:space="preserve">Volume </w:t>
    </w:r>
    <w:r w:rsidR="0002665C">
      <w:rPr>
        <w:iCs/>
        <w:lang w:val="en-US"/>
      </w:rPr>
      <w:t>7</w:t>
    </w:r>
    <w:r w:rsidRPr="00623C67">
      <w:rPr>
        <w:iCs/>
        <w:lang w:val="id-ID"/>
      </w:rPr>
      <w:t xml:space="preserve">, </w:t>
    </w:r>
    <w:r>
      <w:rPr>
        <w:iCs/>
        <w:lang w:val="id-ID"/>
      </w:rPr>
      <w:t xml:space="preserve">Issue </w:t>
    </w:r>
    <w:r w:rsidR="0002665C">
      <w:rPr>
        <w:iCs/>
        <w:lang w:val="en-US"/>
      </w:rPr>
      <w:t>1</w:t>
    </w:r>
    <w:r>
      <w:rPr>
        <w:iCs/>
        <w:lang w:val="id-ID"/>
      </w:rPr>
      <w:t>,</w:t>
    </w:r>
    <w:r w:rsidR="009E57B6">
      <w:rPr>
        <w:iCs/>
        <w:lang w:val="en-US"/>
      </w:rPr>
      <w:t xml:space="preserve"> </w:t>
    </w:r>
    <w:r w:rsidR="0002665C">
      <w:rPr>
        <w:iCs/>
        <w:lang w:val="en-US"/>
      </w:rPr>
      <w:t xml:space="preserve">September </w:t>
    </w:r>
    <w:r>
      <w:rPr>
        <w:iCs/>
        <w:lang w:val="en-US"/>
      </w:rPr>
      <w:t>202</w:t>
    </w:r>
    <w:r w:rsidR="0002665C">
      <w:rPr>
        <w:iCs/>
        <w:lang w:val="en-US"/>
      </w:rPr>
      <w:t>3</w:t>
    </w:r>
    <w:r>
      <w:rPr>
        <w:iCs/>
        <w:lang w:val="id-ID"/>
      </w:rPr>
      <w:t xml:space="preserve">  Page</w:t>
    </w:r>
    <w:r w:rsidRPr="00FD5412">
      <w:rPr>
        <w:iCs/>
        <w:lang w:val="id-ID"/>
      </w:rPr>
      <w:t xml:space="preserve">. </w:t>
    </w:r>
    <w:r w:rsidR="00E778F4">
      <w:rPr>
        <w:iCs/>
        <w:lang w:val="en-US"/>
      </w:rPr>
      <w:t>53</w:t>
    </w:r>
    <w:r w:rsidR="00A700DE" w:rsidRPr="00A700DE">
      <w:rPr>
        <w:iCs/>
        <w:lang w:val="en-US"/>
      </w:rPr>
      <w:t>-</w:t>
    </w:r>
    <w:r w:rsidR="0004473C">
      <w:rPr>
        <w:iCs/>
        <w:lang w:val="en-US"/>
      </w:rPr>
      <w:t>5</w:t>
    </w:r>
    <w:r w:rsidR="00E778F4">
      <w:rPr>
        <w:iCs/>
        <w:lang w:val="en-US"/>
      </w:rPr>
      <w:t>8</w:t>
    </w:r>
  </w:p>
  <w:p w14:paraId="528D6835" w14:textId="77777777" w:rsidR="00882AAF" w:rsidRPr="00FD5412" w:rsidRDefault="00882AAF" w:rsidP="00A4596A">
    <w:pPr>
      <w:tabs>
        <w:tab w:val="left" w:pos="2694"/>
      </w:tabs>
      <w:ind w:left="1440"/>
      <w:rPr>
        <w:iCs/>
      </w:rPr>
    </w:pPr>
    <w:r w:rsidRPr="00FD5412">
      <w:rPr>
        <w:iCs/>
        <w:lang w:val="id-ID"/>
      </w:rPr>
      <w:t xml:space="preserve">          </w:t>
    </w:r>
    <w:r w:rsidRPr="00FD5412">
      <w:rPr>
        <w:iCs/>
        <w:lang w:val="id-ID"/>
      </w:rPr>
      <w:tab/>
    </w:r>
    <w:r w:rsidRPr="00FD5412">
      <w:rPr>
        <w:iCs/>
      </w:rPr>
      <w:t>ISSN (Print): 2580-1309</w:t>
    </w:r>
    <w:r w:rsidRPr="00FD5412">
      <w:rPr>
        <w:iCs/>
        <w:lang w:val="id-ID"/>
      </w:rPr>
      <w:t xml:space="preserve"> </w:t>
    </w:r>
    <w:r w:rsidRPr="00FD5412">
      <w:rPr>
        <w:iCs/>
      </w:rPr>
      <w:t>and</w:t>
    </w:r>
    <w:r w:rsidRPr="00FD5412">
      <w:rPr>
        <w:iCs/>
        <w:lang w:val="id-ID"/>
      </w:rPr>
      <w:t xml:space="preserve"> </w:t>
    </w:r>
    <w:r w:rsidRPr="00FD5412">
      <w:rPr>
        <w:iCs/>
      </w:rPr>
      <w:t xml:space="preserve">ISSN (Online): </w:t>
    </w:r>
    <w:r w:rsidRPr="00FD5412">
      <w:rPr>
        <w:rStyle w:val="apple-style-span"/>
        <w:iCs/>
      </w:rPr>
      <w:t>2580-1317</w:t>
    </w:r>
  </w:p>
  <w:p w14:paraId="15E3A2C1" w14:textId="77777777" w:rsidR="00882AAF" w:rsidRDefault="00882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53"/>
    <w:multiLevelType w:val="hybridMultilevel"/>
    <w:tmpl w:val="CED65F58"/>
    <w:lvl w:ilvl="0" w:tplc="B06CC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8593F"/>
    <w:multiLevelType w:val="hybridMultilevel"/>
    <w:tmpl w:val="B8320294"/>
    <w:lvl w:ilvl="0" w:tplc="7074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B6C82"/>
    <w:multiLevelType w:val="hybridMultilevel"/>
    <w:tmpl w:val="2E1EB766"/>
    <w:lvl w:ilvl="0" w:tplc="D0946C68">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78259306">
    <w:abstractNumId w:val="1"/>
  </w:num>
  <w:num w:numId="2" w16cid:durableId="559830457">
    <w:abstractNumId w:val="2"/>
  </w:num>
  <w:num w:numId="3" w16cid:durableId="24576665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yMDQ3NzK3sDA3NDFS0lEKTi0uzszPAykwtqwFAPOYPm4tAAAA"/>
  </w:docVars>
  <w:rsids>
    <w:rsidRoot w:val="007F44C1"/>
    <w:rsid w:val="0000387F"/>
    <w:rsid w:val="00004671"/>
    <w:rsid w:val="000049D9"/>
    <w:rsid w:val="00005169"/>
    <w:rsid w:val="00005CAA"/>
    <w:rsid w:val="0000624C"/>
    <w:rsid w:val="00006EB8"/>
    <w:rsid w:val="000073D0"/>
    <w:rsid w:val="00007960"/>
    <w:rsid w:val="00010748"/>
    <w:rsid w:val="00010C95"/>
    <w:rsid w:val="00012F96"/>
    <w:rsid w:val="00015C8F"/>
    <w:rsid w:val="00015D10"/>
    <w:rsid w:val="0001770A"/>
    <w:rsid w:val="0001775E"/>
    <w:rsid w:val="000204C9"/>
    <w:rsid w:val="00021F5D"/>
    <w:rsid w:val="000224F6"/>
    <w:rsid w:val="0002326F"/>
    <w:rsid w:val="0002665C"/>
    <w:rsid w:val="0003719B"/>
    <w:rsid w:val="00037C01"/>
    <w:rsid w:val="0004473C"/>
    <w:rsid w:val="00045A77"/>
    <w:rsid w:val="0004797C"/>
    <w:rsid w:val="00051E18"/>
    <w:rsid w:val="000522C3"/>
    <w:rsid w:val="000522C4"/>
    <w:rsid w:val="00054EBA"/>
    <w:rsid w:val="00057A48"/>
    <w:rsid w:val="00060ACF"/>
    <w:rsid w:val="00060E86"/>
    <w:rsid w:val="00060FB7"/>
    <w:rsid w:val="0006258A"/>
    <w:rsid w:val="00072F8D"/>
    <w:rsid w:val="000737DE"/>
    <w:rsid w:val="00075334"/>
    <w:rsid w:val="000806C2"/>
    <w:rsid w:val="0008109D"/>
    <w:rsid w:val="000846ED"/>
    <w:rsid w:val="0008510E"/>
    <w:rsid w:val="00090364"/>
    <w:rsid w:val="000917EA"/>
    <w:rsid w:val="000927B8"/>
    <w:rsid w:val="0009443F"/>
    <w:rsid w:val="000A1C0D"/>
    <w:rsid w:val="000A4A87"/>
    <w:rsid w:val="000A594D"/>
    <w:rsid w:val="000B06CC"/>
    <w:rsid w:val="000B0726"/>
    <w:rsid w:val="000B07A8"/>
    <w:rsid w:val="000B0A6B"/>
    <w:rsid w:val="000B3D99"/>
    <w:rsid w:val="000B531D"/>
    <w:rsid w:val="000B5387"/>
    <w:rsid w:val="000B54A8"/>
    <w:rsid w:val="000B769C"/>
    <w:rsid w:val="000B7EDB"/>
    <w:rsid w:val="000C0A9A"/>
    <w:rsid w:val="000C3691"/>
    <w:rsid w:val="000C3FC2"/>
    <w:rsid w:val="000C5509"/>
    <w:rsid w:val="000C59D2"/>
    <w:rsid w:val="000C7EA5"/>
    <w:rsid w:val="000D0BF0"/>
    <w:rsid w:val="000D11DD"/>
    <w:rsid w:val="000D35EA"/>
    <w:rsid w:val="000E14D1"/>
    <w:rsid w:val="000E25F5"/>
    <w:rsid w:val="000E261F"/>
    <w:rsid w:val="000E2F3D"/>
    <w:rsid w:val="000E3741"/>
    <w:rsid w:val="000E4701"/>
    <w:rsid w:val="000E4823"/>
    <w:rsid w:val="000E567E"/>
    <w:rsid w:val="000F7626"/>
    <w:rsid w:val="00100B45"/>
    <w:rsid w:val="00100F75"/>
    <w:rsid w:val="001107EF"/>
    <w:rsid w:val="00110D86"/>
    <w:rsid w:val="0011290F"/>
    <w:rsid w:val="001146DC"/>
    <w:rsid w:val="00115371"/>
    <w:rsid w:val="00115397"/>
    <w:rsid w:val="0011617A"/>
    <w:rsid w:val="00122058"/>
    <w:rsid w:val="001222A0"/>
    <w:rsid w:val="00122B8B"/>
    <w:rsid w:val="00123456"/>
    <w:rsid w:val="00123555"/>
    <w:rsid w:val="0013104A"/>
    <w:rsid w:val="00134375"/>
    <w:rsid w:val="00135BDD"/>
    <w:rsid w:val="0013779C"/>
    <w:rsid w:val="00137E39"/>
    <w:rsid w:val="00142838"/>
    <w:rsid w:val="00142917"/>
    <w:rsid w:val="0014544A"/>
    <w:rsid w:val="001458D1"/>
    <w:rsid w:val="00150A9A"/>
    <w:rsid w:val="00152636"/>
    <w:rsid w:val="00155363"/>
    <w:rsid w:val="00155BE2"/>
    <w:rsid w:val="00171E37"/>
    <w:rsid w:val="001724B6"/>
    <w:rsid w:val="00173A4B"/>
    <w:rsid w:val="00174445"/>
    <w:rsid w:val="00175DD2"/>
    <w:rsid w:val="00176E55"/>
    <w:rsid w:val="001851DF"/>
    <w:rsid w:val="00186B92"/>
    <w:rsid w:val="00187520"/>
    <w:rsid w:val="001942AA"/>
    <w:rsid w:val="00195851"/>
    <w:rsid w:val="00195EE5"/>
    <w:rsid w:val="001A06E7"/>
    <w:rsid w:val="001A1E6E"/>
    <w:rsid w:val="001A3ADC"/>
    <w:rsid w:val="001A4164"/>
    <w:rsid w:val="001A4DED"/>
    <w:rsid w:val="001A5B76"/>
    <w:rsid w:val="001B08FF"/>
    <w:rsid w:val="001B15AC"/>
    <w:rsid w:val="001B2502"/>
    <w:rsid w:val="001B39D1"/>
    <w:rsid w:val="001B4813"/>
    <w:rsid w:val="001B5175"/>
    <w:rsid w:val="001C02C1"/>
    <w:rsid w:val="001C0A05"/>
    <w:rsid w:val="001C3741"/>
    <w:rsid w:val="001C6870"/>
    <w:rsid w:val="001D2C04"/>
    <w:rsid w:val="001D2C3D"/>
    <w:rsid w:val="001D4AC4"/>
    <w:rsid w:val="001D4D81"/>
    <w:rsid w:val="001D5129"/>
    <w:rsid w:val="001E3E3E"/>
    <w:rsid w:val="001E5FE0"/>
    <w:rsid w:val="001E6C48"/>
    <w:rsid w:val="001E79D2"/>
    <w:rsid w:val="001F0E3B"/>
    <w:rsid w:val="001F3A88"/>
    <w:rsid w:val="001F4DEE"/>
    <w:rsid w:val="001F64EE"/>
    <w:rsid w:val="00200BA8"/>
    <w:rsid w:val="0020255B"/>
    <w:rsid w:val="0020311B"/>
    <w:rsid w:val="002047F1"/>
    <w:rsid w:val="00216268"/>
    <w:rsid w:val="00216A52"/>
    <w:rsid w:val="002200A0"/>
    <w:rsid w:val="00220509"/>
    <w:rsid w:val="0022256C"/>
    <w:rsid w:val="002232B7"/>
    <w:rsid w:val="00227A5D"/>
    <w:rsid w:val="0023100C"/>
    <w:rsid w:val="002340B7"/>
    <w:rsid w:val="00234C53"/>
    <w:rsid w:val="00235526"/>
    <w:rsid w:val="00235F34"/>
    <w:rsid w:val="00241859"/>
    <w:rsid w:val="002432B6"/>
    <w:rsid w:val="00247259"/>
    <w:rsid w:val="00252C81"/>
    <w:rsid w:val="00253E9B"/>
    <w:rsid w:val="00254C26"/>
    <w:rsid w:val="00254FA8"/>
    <w:rsid w:val="0025511B"/>
    <w:rsid w:val="002612DF"/>
    <w:rsid w:val="00262262"/>
    <w:rsid w:val="00264A8E"/>
    <w:rsid w:val="002763F1"/>
    <w:rsid w:val="002767C8"/>
    <w:rsid w:val="00280FAF"/>
    <w:rsid w:val="00282403"/>
    <w:rsid w:val="00283669"/>
    <w:rsid w:val="00284141"/>
    <w:rsid w:val="00284DFD"/>
    <w:rsid w:val="002851BF"/>
    <w:rsid w:val="00285811"/>
    <w:rsid w:val="00293C14"/>
    <w:rsid w:val="00294520"/>
    <w:rsid w:val="0029592A"/>
    <w:rsid w:val="002970D2"/>
    <w:rsid w:val="00297444"/>
    <w:rsid w:val="002A4B52"/>
    <w:rsid w:val="002A5EA4"/>
    <w:rsid w:val="002A7721"/>
    <w:rsid w:val="002A79E9"/>
    <w:rsid w:val="002B24E7"/>
    <w:rsid w:val="002B355F"/>
    <w:rsid w:val="002B56F7"/>
    <w:rsid w:val="002B5929"/>
    <w:rsid w:val="002B6C88"/>
    <w:rsid w:val="002C36B7"/>
    <w:rsid w:val="002C373A"/>
    <w:rsid w:val="002C638E"/>
    <w:rsid w:val="002D3FD6"/>
    <w:rsid w:val="002D3FE3"/>
    <w:rsid w:val="002D410C"/>
    <w:rsid w:val="002D4204"/>
    <w:rsid w:val="002D7F4A"/>
    <w:rsid w:val="002E0B0B"/>
    <w:rsid w:val="002E26C8"/>
    <w:rsid w:val="002F11D6"/>
    <w:rsid w:val="002F16E6"/>
    <w:rsid w:val="002F1D2C"/>
    <w:rsid w:val="002F4436"/>
    <w:rsid w:val="002F7219"/>
    <w:rsid w:val="003000FC"/>
    <w:rsid w:val="00302413"/>
    <w:rsid w:val="003047B1"/>
    <w:rsid w:val="00304F36"/>
    <w:rsid w:val="00305DB9"/>
    <w:rsid w:val="00306495"/>
    <w:rsid w:val="00306CF6"/>
    <w:rsid w:val="0030757D"/>
    <w:rsid w:val="0030771C"/>
    <w:rsid w:val="003112F1"/>
    <w:rsid w:val="00313352"/>
    <w:rsid w:val="00323942"/>
    <w:rsid w:val="00324906"/>
    <w:rsid w:val="00324C24"/>
    <w:rsid w:val="0032617F"/>
    <w:rsid w:val="003264F6"/>
    <w:rsid w:val="003279C0"/>
    <w:rsid w:val="00327CA2"/>
    <w:rsid w:val="003320E5"/>
    <w:rsid w:val="00334C37"/>
    <w:rsid w:val="00340AF8"/>
    <w:rsid w:val="0034228D"/>
    <w:rsid w:val="0034357A"/>
    <w:rsid w:val="00343933"/>
    <w:rsid w:val="00343EC8"/>
    <w:rsid w:val="00344390"/>
    <w:rsid w:val="003462F2"/>
    <w:rsid w:val="00350F16"/>
    <w:rsid w:val="00353EDB"/>
    <w:rsid w:val="003546DB"/>
    <w:rsid w:val="00354A7A"/>
    <w:rsid w:val="00355F5D"/>
    <w:rsid w:val="00356514"/>
    <w:rsid w:val="00361B6C"/>
    <w:rsid w:val="0036550B"/>
    <w:rsid w:val="003669F0"/>
    <w:rsid w:val="00370703"/>
    <w:rsid w:val="00374EF9"/>
    <w:rsid w:val="00380796"/>
    <w:rsid w:val="00380F60"/>
    <w:rsid w:val="00391AA6"/>
    <w:rsid w:val="00392F49"/>
    <w:rsid w:val="00393CFF"/>
    <w:rsid w:val="00394066"/>
    <w:rsid w:val="00397B56"/>
    <w:rsid w:val="003A097B"/>
    <w:rsid w:val="003A13D1"/>
    <w:rsid w:val="003A3282"/>
    <w:rsid w:val="003A4753"/>
    <w:rsid w:val="003A5F7D"/>
    <w:rsid w:val="003A7DCF"/>
    <w:rsid w:val="003B2737"/>
    <w:rsid w:val="003B5E56"/>
    <w:rsid w:val="003B5FAD"/>
    <w:rsid w:val="003C37A0"/>
    <w:rsid w:val="003D0751"/>
    <w:rsid w:val="003D0A5F"/>
    <w:rsid w:val="003D10B3"/>
    <w:rsid w:val="003D2515"/>
    <w:rsid w:val="003D67EA"/>
    <w:rsid w:val="003D69FE"/>
    <w:rsid w:val="003D7ABB"/>
    <w:rsid w:val="003E04BA"/>
    <w:rsid w:val="003E6223"/>
    <w:rsid w:val="003F0EE9"/>
    <w:rsid w:val="003F24DD"/>
    <w:rsid w:val="003F5AB2"/>
    <w:rsid w:val="003F5D39"/>
    <w:rsid w:val="003F78A3"/>
    <w:rsid w:val="00401686"/>
    <w:rsid w:val="00404AD9"/>
    <w:rsid w:val="00410E10"/>
    <w:rsid w:val="0041169E"/>
    <w:rsid w:val="00411CA9"/>
    <w:rsid w:val="00414B11"/>
    <w:rsid w:val="00416103"/>
    <w:rsid w:val="00417175"/>
    <w:rsid w:val="00424832"/>
    <w:rsid w:val="00424EE7"/>
    <w:rsid w:val="00434B19"/>
    <w:rsid w:val="00436348"/>
    <w:rsid w:val="0044056A"/>
    <w:rsid w:val="004414DA"/>
    <w:rsid w:val="004435EB"/>
    <w:rsid w:val="00455637"/>
    <w:rsid w:val="004572E3"/>
    <w:rsid w:val="00461B6B"/>
    <w:rsid w:val="004631FD"/>
    <w:rsid w:val="004633C1"/>
    <w:rsid w:val="00463EE7"/>
    <w:rsid w:val="004673C9"/>
    <w:rsid w:val="004705FD"/>
    <w:rsid w:val="004741B5"/>
    <w:rsid w:val="004811E9"/>
    <w:rsid w:val="00484F31"/>
    <w:rsid w:val="00486331"/>
    <w:rsid w:val="0048795B"/>
    <w:rsid w:val="00494270"/>
    <w:rsid w:val="00495A57"/>
    <w:rsid w:val="0049704F"/>
    <w:rsid w:val="00497BD0"/>
    <w:rsid w:val="004A0790"/>
    <w:rsid w:val="004A1341"/>
    <w:rsid w:val="004A40A2"/>
    <w:rsid w:val="004A5B8F"/>
    <w:rsid w:val="004B0545"/>
    <w:rsid w:val="004B1AA5"/>
    <w:rsid w:val="004B3272"/>
    <w:rsid w:val="004B3577"/>
    <w:rsid w:val="004B65BA"/>
    <w:rsid w:val="004B6C77"/>
    <w:rsid w:val="004C1968"/>
    <w:rsid w:val="004C1B3A"/>
    <w:rsid w:val="004C254E"/>
    <w:rsid w:val="004C275F"/>
    <w:rsid w:val="004C2D18"/>
    <w:rsid w:val="004C32B6"/>
    <w:rsid w:val="004D3A85"/>
    <w:rsid w:val="004D3B64"/>
    <w:rsid w:val="004D590D"/>
    <w:rsid w:val="004E2CB1"/>
    <w:rsid w:val="004E310D"/>
    <w:rsid w:val="004F136F"/>
    <w:rsid w:val="004F2908"/>
    <w:rsid w:val="004F57A1"/>
    <w:rsid w:val="004F5A66"/>
    <w:rsid w:val="00501F77"/>
    <w:rsid w:val="00510289"/>
    <w:rsid w:val="00511F8D"/>
    <w:rsid w:val="00514D8F"/>
    <w:rsid w:val="00514F0C"/>
    <w:rsid w:val="005165A6"/>
    <w:rsid w:val="00517428"/>
    <w:rsid w:val="00522C7B"/>
    <w:rsid w:val="005258A9"/>
    <w:rsid w:val="005270BF"/>
    <w:rsid w:val="00527DEB"/>
    <w:rsid w:val="00531AD0"/>
    <w:rsid w:val="00533EE9"/>
    <w:rsid w:val="00536E6E"/>
    <w:rsid w:val="00540940"/>
    <w:rsid w:val="00541E68"/>
    <w:rsid w:val="005431FB"/>
    <w:rsid w:val="005438F0"/>
    <w:rsid w:val="005475C2"/>
    <w:rsid w:val="005510CC"/>
    <w:rsid w:val="00553788"/>
    <w:rsid w:val="005542B9"/>
    <w:rsid w:val="00554B8E"/>
    <w:rsid w:val="00554D08"/>
    <w:rsid w:val="005622D3"/>
    <w:rsid w:val="0056361F"/>
    <w:rsid w:val="0057080A"/>
    <w:rsid w:val="005711D5"/>
    <w:rsid w:val="005715AB"/>
    <w:rsid w:val="00573FF2"/>
    <w:rsid w:val="005744E8"/>
    <w:rsid w:val="00577715"/>
    <w:rsid w:val="005846BF"/>
    <w:rsid w:val="005866D1"/>
    <w:rsid w:val="0058695F"/>
    <w:rsid w:val="00593E25"/>
    <w:rsid w:val="00596311"/>
    <w:rsid w:val="00596FF1"/>
    <w:rsid w:val="005A6446"/>
    <w:rsid w:val="005A787A"/>
    <w:rsid w:val="005B0507"/>
    <w:rsid w:val="005B2F4F"/>
    <w:rsid w:val="005B34C4"/>
    <w:rsid w:val="005B3682"/>
    <w:rsid w:val="005B66D8"/>
    <w:rsid w:val="005C0249"/>
    <w:rsid w:val="005C035D"/>
    <w:rsid w:val="005C0FDD"/>
    <w:rsid w:val="005C1F6D"/>
    <w:rsid w:val="005C2AF6"/>
    <w:rsid w:val="005C3809"/>
    <w:rsid w:val="005C4CB9"/>
    <w:rsid w:val="005D1BB7"/>
    <w:rsid w:val="005D36D8"/>
    <w:rsid w:val="005D7D33"/>
    <w:rsid w:val="005E0C76"/>
    <w:rsid w:val="005E39F6"/>
    <w:rsid w:val="005E6197"/>
    <w:rsid w:val="005E74AA"/>
    <w:rsid w:val="005F030F"/>
    <w:rsid w:val="005F0EB4"/>
    <w:rsid w:val="005F595A"/>
    <w:rsid w:val="006012B0"/>
    <w:rsid w:val="0060480E"/>
    <w:rsid w:val="006102A9"/>
    <w:rsid w:val="00611B7F"/>
    <w:rsid w:val="00612CFB"/>
    <w:rsid w:val="0061736B"/>
    <w:rsid w:val="00623C67"/>
    <w:rsid w:val="00623F0D"/>
    <w:rsid w:val="006254A3"/>
    <w:rsid w:val="00625ABF"/>
    <w:rsid w:val="00627C12"/>
    <w:rsid w:val="00630740"/>
    <w:rsid w:val="0063177F"/>
    <w:rsid w:val="00635298"/>
    <w:rsid w:val="006359E3"/>
    <w:rsid w:val="00640B9F"/>
    <w:rsid w:val="00643DE9"/>
    <w:rsid w:val="00654BE3"/>
    <w:rsid w:val="00657092"/>
    <w:rsid w:val="0066201C"/>
    <w:rsid w:val="00664545"/>
    <w:rsid w:val="00665498"/>
    <w:rsid w:val="00666871"/>
    <w:rsid w:val="00667B9D"/>
    <w:rsid w:val="00683116"/>
    <w:rsid w:val="006857BB"/>
    <w:rsid w:val="006870F2"/>
    <w:rsid w:val="00691605"/>
    <w:rsid w:val="00691BE2"/>
    <w:rsid w:val="006A0F3A"/>
    <w:rsid w:val="006A2DFA"/>
    <w:rsid w:val="006A512D"/>
    <w:rsid w:val="006A650A"/>
    <w:rsid w:val="006A67CA"/>
    <w:rsid w:val="006A7952"/>
    <w:rsid w:val="006C26CA"/>
    <w:rsid w:val="006C381E"/>
    <w:rsid w:val="006C3A05"/>
    <w:rsid w:val="006D1A36"/>
    <w:rsid w:val="006E13EC"/>
    <w:rsid w:val="006E17B3"/>
    <w:rsid w:val="006E30B4"/>
    <w:rsid w:val="006E68ED"/>
    <w:rsid w:val="006E6EF2"/>
    <w:rsid w:val="006E7875"/>
    <w:rsid w:val="006F1E08"/>
    <w:rsid w:val="006F32C1"/>
    <w:rsid w:val="006F37AB"/>
    <w:rsid w:val="006F4EE9"/>
    <w:rsid w:val="00700665"/>
    <w:rsid w:val="00707682"/>
    <w:rsid w:val="007108A1"/>
    <w:rsid w:val="00711E1E"/>
    <w:rsid w:val="00712AED"/>
    <w:rsid w:val="00714D10"/>
    <w:rsid w:val="00715147"/>
    <w:rsid w:val="00717A41"/>
    <w:rsid w:val="00720ABC"/>
    <w:rsid w:val="00722D54"/>
    <w:rsid w:val="00724A59"/>
    <w:rsid w:val="00726138"/>
    <w:rsid w:val="00730E14"/>
    <w:rsid w:val="0073155D"/>
    <w:rsid w:val="007336B2"/>
    <w:rsid w:val="00733C51"/>
    <w:rsid w:val="00734935"/>
    <w:rsid w:val="007404AB"/>
    <w:rsid w:val="00741B61"/>
    <w:rsid w:val="00742EFA"/>
    <w:rsid w:val="00743F0F"/>
    <w:rsid w:val="00747B83"/>
    <w:rsid w:val="00751C05"/>
    <w:rsid w:val="00762B7C"/>
    <w:rsid w:val="007644F8"/>
    <w:rsid w:val="00764D3A"/>
    <w:rsid w:val="00766473"/>
    <w:rsid w:val="007737CC"/>
    <w:rsid w:val="007771BD"/>
    <w:rsid w:val="007834A4"/>
    <w:rsid w:val="007861A6"/>
    <w:rsid w:val="00786D13"/>
    <w:rsid w:val="00791977"/>
    <w:rsid w:val="00793B37"/>
    <w:rsid w:val="00794716"/>
    <w:rsid w:val="00796D6C"/>
    <w:rsid w:val="007A3DE8"/>
    <w:rsid w:val="007A56BE"/>
    <w:rsid w:val="007B623F"/>
    <w:rsid w:val="007B6982"/>
    <w:rsid w:val="007B6C13"/>
    <w:rsid w:val="007C0C28"/>
    <w:rsid w:val="007C25C3"/>
    <w:rsid w:val="007C2A4E"/>
    <w:rsid w:val="007C32B1"/>
    <w:rsid w:val="007C3837"/>
    <w:rsid w:val="007C49DD"/>
    <w:rsid w:val="007C50CB"/>
    <w:rsid w:val="007E6C11"/>
    <w:rsid w:val="007E6F34"/>
    <w:rsid w:val="007F072C"/>
    <w:rsid w:val="007F35D5"/>
    <w:rsid w:val="007F40E7"/>
    <w:rsid w:val="007F44C1"/>
    <w:rsid w:val="007F4703"/>
    <w:rsid w:val="007F7E2C"/>
    <w:rsid w:val="008048A7"/>
    <w:rsid w:val="008078D5"/>
    <w:rsid w:val="00810537"/>
    <w:rsid w:val="0081287B"/>
    <w:rsid w:val="00813237"/>
    <w:rsid w:val="008176D2"/>
    <w:rsid w:val="0082045B"/>
    <w:rsid w:val="00823A2C"/>
    <w:rsid w:val="00824422"/>
    <w:rsid w:val="008279E7"/>
    <w:rsid w:val="008302B0"/>
    <w:rsid w:val="008326B8"/>
    <w:rsid w:val="008333C2"/>
    <w:rsid w:val="008350C0"/>
    <w:rsid w:val="00836986"/>
    <w:rsid w:val="00837009"/>
    <w:rsid w:val="00837B3E"/>
    <w:rsid w:val="008407D3"/>
    <w:rsid w:val="00843BC9"/>
    <w:rsid w:val="00851A1B"/>
    <w:rsid w:val="00851EFE"/>
    <w:rsid w:val="0086268C"/>
    <w:rsid w:val="0086509F"/>
    <w:rsid w:val="00865972"/>
    <w:rsid w:val="0086748D"/>
    <w:rsid w:val="00867D16"/>
    <w:rsid w:val="00876E93"/>
    <w:rsid w:val="00877F19"/>
    <w:rsid w:val="00881988"/>
    <w:rsid w:val="00882279"/>
    <w:rsid w:val="00882AAF"/>
    <w:rsid w:val="00885290"/>
    <w:rsid w:val="008855E2"/>
    <w:rsid w:val="00885A5F"/>
    <w:rsid w:val="0089022B"/>
    <w:rsid w:val="0089054B"/>
    <w:rsid w:val="008A070C"/>
    <w:rsid w:val="008A0C01"/>
    <w:rsid w:val="008A1964"/>
    <w:rsid w:val="008A1E03"/>
    <w:rsid w:val="008A35E9"/>
    <w:rsid w:val="008A5EAB"/>
    <w:rsid w:val="008A6BEA"/>
    <w:rsid w:val="008A6F78"/>
    <w:rsid w:val="008B2F17"/>
    <w:rsid w:val="008B5FA9"/>
    <w:rsid w:val="008C240F"/>
    <w:rsid w:val="008C2F80"/>
    <w:rsid w:val="008C3F24"/>
    <w:rsid w:val="008D14D5"/>
    <w:rsid w:val="008D4863"/>
    <w:rsid w:val="008D4A05"/>
    <w:rsid w:val="008D502B"/>
    <w:rsid w:val="008D588D"/>
    <w:rsid w:val="008D5DE3"/>
    <w:rsid w:val="008D7F9F"/>
    <w:rsid w:val="008E1563"/>
    <w:rsid w:val="008E341D"/>
    <w:rsid w:val="008F1E7A"/>
    <w:rsid w:val="008F3006"/>
    <w:rsid w:val="008F3DD9"/>
    <w:rsid w:val="00903185"/>
    <w:rsid w:val="00905466"/>
    <w:rsid w:val="009064B1"/>
    <w:rsid w:val="00906549"/>
    <w:rsid w:val="0091099B"/>
    <w:rsid w:val="009157C4"/>
    <w:rsid w:val="009162B1"/>
    <w:rsid w:val="00921469"/>
    <w:rsid w:val="0092442A"/>
    <w:rsid w:val="00924AF8"/>
    <w:rsid w:val="00930544"/>
    <w:rsid w:val="009342E3"/>
    <w:rsid w:val="00934955"/>
    <w:rsid w:val="00934985"/>
    <w:rsid w:val="009355C3"/>
    <w:rsid w:val="009374A0"/>
    <w:rsid w:val="0093779C"/>
    <w:rsid w:val="00937E25"/>
    <w:rsid w:val="00937FED"/>
    <w:rsid w:val="0094084A"/>
    <w:rsid w:val="00940FA4"/>
    <w:rsid w:val="00942D4E"/>
    <w:rsid w:val="00944027"/>
    <w:rsid w:val="009457DF"/>
    <w:rsid w:val="009521C0"/>
    <w:rsid w:val="00953139"/>
    <w:rsid w:val="00955DCD"/>
    <w:rsid w:val="00960899"/>
    <w:rsid w:val="0096096C"/>
    <w:rsid w:val="009617CF"/>
    <w:rsid w:val="00961E43"/>
    <w:rsid w:val="0096458B"/>
    <w:rsid w:val="009656EA"/>
    <w:rsid w:val="00965B7D"/>
    <w:rsid w:val="00967B7C"/>
    <w:rsid w:val="00971CCE"/>
    <w:rsid w:val="00973E8C"/>
    <w:rsid w:val="009748DC"/>
    <w:rsid w:val="0098001C"/>
    <w:rsid w:val="00983CD0"/>
    <w:rsid w:val="00983FC2"/>
    <w:rsid w:val="00984D11"/>
    <w:rsid w:val="00986758"/>
    <w:rsid w:val="0099081B"/>
    <w:rsid w:val="0099200D"/>
    <w:rsid w:val="00993F11"/>
    <w:rsid w:val="00994E81"/>
    <w:rsid w:val="00995451"/>
    <w:rsid w:val="00996E3F"/>
    <w:rsid w:val="00997567"/>
    <w:rsid w:val="00997D13"/>
    <w:rsid w:val="009A1344"/>
    <w:rsid w:val="009A6013"/>
    <w:rsid w:val="009B5635"/>
    <w:rsid w:val="009B7BB8"/>
    <w:rsid w:val="009C0C16"/>
    <w:rsid w:val="009C3988"/>
    <w:rsid w:val="009C3D79"/>
    <w:rsid w:val="009C4B41"/>
    <w:rsid w:val="009D2A58"/>
    <w:rsid w:val="009E4288"/>
    <w:rsid w:val="009E430A"/>
    <w:rsid w:val="009E57B6"/>
    <w:rsid w:val="009E595A"/>
    <w:rsid w:val="009E69C0"/>
    <w:rsid w:val="009E6DDF"/>
    <w:rsid w:val="009E6F3E"/>
    <w:rsid w:val="009E7192"/>
    <w:rsid w:val="009F4DC5"/>
    <w:rsid w:val="00A01199"/>
    <w:rsid w:val="00A01E00"/>
    <w:rsid w:val="00A1016E"/>
    <w:rsid w:val="00A103B4"/>
    <w:rsid w:val="00A12941"/>
    <w:rsid w:val="00A14B73"/>
    <w:rsid w:val="00A20CBB"/>
    <w:rsid w:val="00A2337B"/>
    <w:rsid w:val="00A23959"/>
    <w:rsid w:val="00A23C70"/>
    <w:rsid w:val="00A23F16"/>
    <w:rsid w:val="00A2436C"/>
    <w:rsid w:val="00A303E6"/>
    <w:rsid w:val="00A32181"/>
    <w:rsid w:val="00A33D37"/>
    <w:rsid w:val="00A41B6E"/>
    <w:rsid w:val="00A42D05"/>
    <w:rsid w:val="00A4596A"/>
    <w:rsid w:val="00A45B05"/>
    <w:rsid w:val="00A47D0A"/>
    <w:rsid w:val="00A47F7E"/>
    <w:rsid w:val="00A5303F"/>
    <w:rsid w:val="00A53632"/>
    <w:rsid w:val="00A549D1"/>
    <w:rsid w:val="00A57A1B"/>
    <w:rsid w:val="00A60155"/>
    <w:rsid w:val="00A60220"/>
    <w:rsid w:val="00A60842"/>
    <w:rsid w:val="00A6739E"/>
    <w:rsid w:val="00A700DE"/>
    <w:rsid w:val="00A73423"/>
    <w:rsid w:val="00A7549D"/>
    <w:rsid w:val="00A76938"/>
    <w:rsid w:val="00A8022C"/>
    <w:rsid w:val="00A81C5F"/>
    <w:rsid w:val="00A81DE2"/>
    <w:rsid w:val="00A83399"/>
    <w:rsid w:val="00A83E3A"/>
    <w:rsid w:val="00A84879"/>
    <w:rsid w:val="00A9291C"/>
    <w:rsid w:val="00A93E13"/>
    <w:rsid w:val="00AA00F8"/>
    <w:rsid w:val="00AB333A"/>
    <w:rsid w:val="00AB336B"/>
    <w:rsid w:val="00AB3619"/>
    <w:rsid w:val="00AB4560"/>
    <w:rsid w:val="00AB6044"/>
    <w:rsid w:val="00AB6721"/>
    <w:rsid w:val="00AB68DF"/>
    <w:rsid w:val="00AC0D57"/>
    <w:rsid w:val="00AC2A9D"/>
    <w:rsid w:val="00AC2EC0"/>
    <w:rsid w:val="00AC3BBF"/>
    <w:rsid w:val="00AC48CA"/>
    <w:rsid w:val="00AD1A2D"/>
    <w:rsid w:val="00AD4D18"/>
    <w:rsid w:val="00AD5B64"/>
    <w:rsid w:val="00AE2AF4"/>
    <w:rsid w:val="00AE4423"/>
    <w:rsid w:val="00AE76E2"/>
    <w:rsid w:val="00AE79E4"/>
    <w:rsid w:val="00AE7E2A"/>
    <w:rsid w:val="00AF1174"/>
    <w:rsid w:val="00AF3E21"/>
    <w:rsid w:val="00AF4049"/>
    <w:rsid w:val="00AF563D"/>
    <w:rsid w:val="00AF5E31"/>
    <w:rsid w:val="00AF6A10"/>
    <w:rsid w:val="00AF78AD"/>
    <w:rsid w:val="00B00036"/>
    <w:rsid w:val="00B015C4"/>
    <w:rsid w:val="00B02973"/>
    <w:rsid w:val="00B066A6"/>
    <w:rsid w:val="00B078F4"/>
    <w:rsid w:val="00B103A6"/>
    <w:rsid w:val="00B10561"/>
    <w:rsid w:val="00B15F9B"/>
    <w:rsid w:val="00B17C8E"/>
    <w:rsid w:val="00B26A4C"/>
    <w:rsid w:val="00B3583E"/>
    <w:rsid w:val="00B35BED"/>
    <w:rsid w:val="00B409E5"/>
    <w:rsid w:val="00B4202E"/>
    <w:rsid w:val="00B4487C"/>
    <w:rsid w:val="00B4538F"/>
    <w:rsid w:val="00B45BBE"/>
    <w:rsid w:val="00B4709D"/>
    <w:rsid w:val="00B47EC1"/>
    <w:rsid w:val="00B52408"/>
    <w:rsid w:val="00B54552"/>
    <w:rsid w:val="00B548EE"/>
    <w:rsid w:val="00B54ADD"/>
    <w:rsid w:val="00B57C59"/>
    <w:rsid w:val="00B608E9"/>
    <w:rsid w:val="00B63C8F"/>
    <w:rsid w:val="00B6532D"/>
    <w:rsid w:val="00B70AC6"/>
    <w:rsid w:val="00B71189"/>
    <w:rsid w:val="00B73A77"/>
    <w:rsid w:val="00B74752"/>
    <w:rsid w:val="00B8024F"/>
    <w:rsid w:val="00B8082C"/>
    <w:rsid w:val="00B82F84"/>
    <w:rsid w:val="00B831E4"/>
    <w:rsid w:val="00B8332A"/>
    <w:rsid w:val="00B872DE"/>
    <w:rsid w:val="00B90882"/>
    <w:rsid w:val="00B923CE"/>
    <w:rsid w:val="00B92C9F"/>
    <w:rsid w:val="00B94A99"/>
    <w:rsid w:val="00B95723"/>
    <w:rsid w:val="00B959E6"/>
    <w:rsid w:val="00BA436A"/>
    <w:rsid w:val="00BA5732"/>
    <w:rsid w:val="00BA6F81"/>
    <w:rsid w:val="00BB0AFC"/>
    <w:rsid w:val="00BB2835"/>
    <w:rsid w:val="00BB2C1D"/>
    <w:rsid w:val="00BB44F7"/>
    <w:rsid w:val="00BB45CD"/>
    <w:rsid w:val="00BB5CD4"/>
    <w:rsid w:val="00BC6AF9"/>
    <w:rsid w:val="00BD552D"/>
    <w:rsid w:val="00BD57CF"/>
    <w:rsid w:val="00BD7663"/>
    <w:rsid w:val="00BE4176"/>
    <w:rsid w:val="00BE4180"/>
    <w:rsid w:val="00BE4870"/>
    <w:rsid w:val="00BE7292"/>
    <w:rsid w:val="00BF1020"/>
    <w:rsid w:val="00BF587F"/>
    <w:rsid w:val="00BF6FF9"/>
    <w:rsid w:val="00C01EAF"/>
    <w:rsid w:val="00C12679"/>
    <w:rsid w:val="00C20374"/>
    <w:rsid w:val="00C25EE1"/>
    <w:rsid w:val="00C274B1"/>
    <w:rsid w:val="00C32848"/>
    <w:rsid w:val="00C32A5D"/>
    <w:rsid w:val="00C34505"/>
    <w:rsid w:val="00C34613"/>
    <w:rsid w:val="00C37273"/>
    <w:rsid w:val="00C37AF3"/>
    <w:rsid w:val="00C43A24"/>
    <w:rsid w:val="00C466E8"/>
    <w:rsid w:val="00C47E96"/>
    <w:rsid w:val="00C5219E"/>
    <w:rsid w:val="00C52BCF"/>
    <w:rsid w:val="00C556B9"/>
    <w:rsid w:val="00C55D40"/>
    <w:rsid w:val="00C57400"/>
    <w:rsid w:val="00C62CEE"/>
    <w:rsid w:val="00C63FC1"/>
    <w:rsid w:val="00C64717"/>
    <w:rsid w:val="00C6499F"/>
    <w:rsid w:val="00C7307C"/>
    <w:rsid w:val="00C74C88"/>
    <w:rsid w:val="00C75854"/>
    <w:rsid w:val="00C77E7E"/>
    <w:rsid w:val="00C84527"/>
    <w:rsid w:val="00C8580B"/>
    <w:rsid w:val="00C85858"/>
    <w:rsid w:val="00C92586"/>
    <w:rsid w:val="00C928AB"/>
    <w:rsid w:val="00C9418C"/>
    <w:rsid w:val="00C97256"/>
    <w:rsid w:val="00C97380"/>
    <w:rsid w:val="00CA02A6"/>
    <w:rsid w:val="00CA067B"/>
    <w:rsid w:val="00CA3FD2"/>
    <w:rsid w:val="00CA4C17"/>
    <w:rsid w:val="00CA6317"/>
    <w:rsid w:val="00CA77E7"/>
    <w:rsid w:val="00CB08D3"/>
    <w:rsid w:val="00CB1BB6"/>
    <w:rsid w:val="00CB4491"/>
    <w:rsid w:val="00CB7243"/>
    <w:rsid w:val="00CB7DAB"/>
    <w:rsid w:val="00CC0012"/>
    <w:rsid w:val="00CC23B4"/>
    <w:rsid w:val="00CC306D"/>
    <w:rsid w:val="00CC34DC"/>
    <w:rsid w:val="00CC4FB5"/>
    <w:rsid w:val="00CC6DCF"/>
    <w:rsid w:val="00CD13F1"/>
    <w:rsid w:val="00CD2BAF"/>
    <w:rsid w:val="00CD4641"/>
    <w:rsid w:val="00CD4737"/>
    <w:rsid w:val="00CD562F"/>
    <w:rsid w:val="00CE057D"/>
    <w:rsid w:val="00CE3AB9"/>
    <w:rsid w:val="00CE47A3"/>
    <w:rsid w:val="00CE7539"/>
    <w:rsid w:val="00CF1073"/>
    <w:rsid w:val="00CF7FC6"/>
    <w:rsid w:val="00D00445"/>
    <w:rsid w:val="00D035EE"/>
    <w:rsid w:val="00D10B96"/>
    <w:rsid w:val="00D16EF5"/>
    <w:rsid w:val="00D170BB"/>
    <w:rsid w:val="00D17B33"/>
    <w:rsid w:val="00D21ABF"/>
    <w:rsid w:val="00D22C1D"/>
    <w:rsid w:val="00D22C54"/>
    <w:rsid w:val="00D305D9"/>
    <w:rsid w:val="00D31660"/>
    <w:rsid w:val="00D35F16"/>
    <w:rsid w:val="00D36E65"/>
    <w:rsid w:val="00D41685"/>
    <w:rsid w:val="00D44DC9"/>
    <w:rsid w:val="00D47448"/>
    <w:rsid w:val="00D47BFB"/>
    <w:rsid w:val="00D47E31"/>
    <w:rsid w:val="00D508DE"/>
    <w:rsid w:val="00D50CA4"/>
    <w:rsid w:val="00D548F4"/>
    <w:rsid w:val="00D625D6"/>
    <w:rsid w:val="00D666B0"/>
    <w:rsid w:val="00D6684E"/>
    <w:rsid w:val="00D67CBD"/>
    <w:rsid w:val="00D71132"/>
    <w:rsid w:val="00D71ADC"/>
    <w:rsid w:val="00D7310F"/>
    <w:rsid w:val="00D74251"/>
    <w:rsid w:val="00D747F0"/>
    <w:rsid w:val="00D753A3"/>
    <w:rsid w:val="00D77943"/>
    <w:rsid w:val="00D82C99"/>
    <w:rsid w:val="00D86670"/>
    <w:rsid w:val="00D870E5"/>
    <w:rsid w:val="00D93794"/>
    <w:rsid w:val="00D93D39"/>
    <w:rsid w:val="00D93F25"/>
    <w:rsid w:val="00D940FD"/>
    <w:rsid w:val="00D95232"/>
    <w:rsid w:val="00D95392"/>
    <w:rsid w:val="00DA29C0"/>
    <w:rsid w:val="00DA3DF2"/>
    <w:rsid w:val="00DB2919"/>
    <w:rsid w:val="00DB45DE"/>
    <w:rsid w:val="00DB4B45"/>
    <w:rsid w:val="00DC5CF4"/>
    <w:rsid w:val="00DC7DB0"/>
    <w:rsid w:val="00DD11E5"/>
    <w:rsid w:val="00DD35F2"/>
    <w:rsid w:val="00DE30D0"/>
    <w:rsid w:val="00DE6BA3"/>
    <w:rsid w:val="00DF1D0E"/>
    <w:rsid w:val="00DF1FB1"/>
    <w:rsid w:val="00DF304C"/>
    <w:rsid w:val="00DF6CF4"/>
    <w:rsid w:val="00E00175"/>
    <w:rsid w:val="00E0075C"/>
    <w:rsid w:val="00E018C0"/>
    <w:rsid w:val="00E02745"/>
    <w:rsid w:val="00E066D3"/>
    <w:rsid w:val="00E16746"/>
    <w:rsid w:val="00E20B3B"/>
    <w:rsid w:val="00E22B9C"/>
    <w:rsid w:val="00E24585"/>
    <w:rsid w:val="00E253F5"/>
    <w:rsid w:val="00E26EAD"/>
    <w:rsid w:val="00E3725F"/>
    <w:rsid w:val="00E37D9B"/>
    <w:rsid w:val="00E4031F"/>
    <w:rsid w:val="00E4220C"/>
    <w:rsid w:val="00E425D5"/>
    <w:rsid w:val="00E434CB"/>
    <w:rsid w:val="00E441D9"/>
    <w:rsid w:val="00E4484F"/>
    <w:rsid w:val="00E44AFC"/>
    <w:rsid w:val="00E507E8"/>
    <w:rsid w:val="00E5423B"/>
    <w:rsid w:val="00E576E9"/>
    <w:rsid w:val="00E57B6E"/>
    <w:rsid w:val="00E600BA"/>
    <w:rsid w:val="00E60FA4"/>
    <w:rsid w:val="00E62D88"/>
    <w:rsid w:val="00E637E4"/>
    <w:rsid w:val="00E67E77"/>
    <w:rsid w:val="00E707EF"/>
    <w:rsid w:val="00E73078"/>
    <w:rsid w:val="00E73308"/>
    <w:rsid w:val="00E75669"/>
    <w:rsid w:val="00E773F6"/>
    <w:rsid w:val="00E778F4"/>
    <w:rsid w:val="00E77E5B"/>
    <w:rsid w:val="00E80FA6"/>
    <w:rsid w:val="00E81CFC"/>
    <w:rsid w:val="00E8288C"/>
    <w:rsid w:val="00E837AD"/>
    <w:rsid w:val="00E85F2B"/>
    <w:rsid w:val="00E9170B"/>
    <w:rsid w:val="00E924B3"/>
    <w:rsid w:val="00E95D8F"/>
    <w:rsid w:val="00EA1D3D"/>
    <w:rsid w:val="00EA1E36"/>
    <w:rsid w:val="00EB495E"/>
    <w:rsid w:val="00EB74C3"/>
    <w:rsid w:val="00EC0CFE"/>
    <w:rsid w:val="00EC1CF3"/>
    <w:rsid w:val="00EC1CF8"/>
    <w:rsid w:val="00EC3EDE"/>
    <w:rsid w:val="00EC530B"/>
    <w:rsid w:val="00ED0FD9"/>
    <w:rsid w:val="00ED6887"/>
    <w:rsid w:val="00EE211D"/>
    <w:rsid w:val="00EE2F73"/>
    <w:rsid w:val="00EE6199"/>
    <w:rsid w:val="00EE6452"/>
    <w:rsid w:val="00EE66D2"/>
    <w:rsid w:val="00EE7137"/>
    <w:rsid w:val="00EE7C4B"/>
    <w:rsid w:val="00EE7DEB"/>
    <w:rsid w:val="00EF0629"/>
    <w:rsid w:val="00EF0983"/>
    <w:rsid w:val="00EF1586"/>
    <w:rsid w:val="00EF39B2"/>
    <w:rsid w:val="00EF5EBE"/>
    <w:rsid w:val="00EF6665"/>
    <w:rsid w:val="00EF75E9"/>
    <w:rsid w:val="00F003CE"/>
    <w:rsid w:val="00F00A0E"/>
    <w:rsid w:val="00F00C88"/>
    <w:rsid w:val="00F018FA"/>
    <w:rsid w:val="00F1180D"/>
    <w:rsid w:val="00F13819"/>
    <w:rsid w:val="00F139A1"/>
    <w:rsid w:val="00F27A29"/>
    <w:rsid w:val="00F32522"/>
    <w:rsid w:val="00F33A98"/>
    <w:rsid w:val="00F33AA6"/>
    <w:rsid w:val="00F353EA"/>
    <w:rsid w:val="00F37E37"/>
    <w:rsid w:val="00F42BB2"/>
    <w:rsid w:val="00F43D13"/>
    <w:rsid w:val="00F51086"/>
    <w:rsid w:val="00F52EC3"/>
    <w:rsid w:val="00F53148"/>
    <w:rsid w:val="00F53B24"/>
    <w:rsid w:val="00F5475B"/>
    <w:rsid w:val="00F552BE"/>
    <w:rsid w:val="00F57785"/>
    <w:rsid w:val="00F640EC"/>
    <w:rsid w:val="00F65773"/>
    <w:rsid w:val="00F65F23"/>
    <w:rsid w:val="00F707D4"/>
    <w:rsid w:val="00F7122C"/>
    <w:rsid w:val="00F71386"/>
    <w:rsid w:val="00F73537"/>
    <w:rsid w:val="00F75743"/>
    <w:rsid w:val="00F769A7"/>
    <w:rsid w:val="00F776DC"/>
    <w:rsid w:val="00F80B16"/>
    <w:rsid w:val="00F812B5"/>
    <w:rsid w:val="00F83B14"/>
    <w:rsid w:val="00F85015"/>
    <w:rsid w:val="00F86160"/>
    <w:rsid w:val="00F907C4"/>
    <w:rsid w:val="00F91D8D"/>
    <w:rsid w:val="00F9444E"/>
    <w:rsid w:val="00F947FB"/>
    <w:rsid w:val="00FA0819"/>
    <w:rsid w:val="00FA0DAF"/>
    <w:rsid w:val="00FA0F2A"/>
    <w:rsid w:val="00FA103A"/>
    <w:rsid w:val="00FA1F77"/>
    <w:rsid w:val="00FA1FF2"/>
    <w:rsid w:val="00FA7696"/>
    <w:rsid w:val="00FB33AE"/>
    <w:rsid w:val="00FB4395"/>
    <w:rsid w:val="00FB7958"/>
    <w:rsid w:val="00FB7DD3"/>
    <w:rsid w:val="00FC3142"/>
    <w:rsid w:val="00FC425A"/>
    <w:rsid w:val="00FC44D3"/>
    <w:rsid w:val="00FC495F"/>
    <w:rsid w:val="00FD0726"/>
    <w:rsid w:val="00FD0743"/>
    <w:rsid w:val="00FD202F"/>
    <w:rsid w:val="00FD2656"/>
    <w:rsid w:val="00FD5412"/>
    <w:rsid w:val="00FD6594"/>
    <w:rsid w:val="00FE011E"/>
    <w:rsid w:val="00FE0E5A"/>
    <w:rsid w:val="00FE5BE2"/>
    <w:rsid w:val="00FF06AD"/>
    <w:rsid w:val="00FF14F9"/>
    <w:rsid w:val="00FF1D3B"/>
    <w:rsid w:val="00FF23C3"/>
    <w:rsid w:val="00FF345F"/>
    <w:rsid w:val="00FF42FA"/>
    <w:rsid w:val="00FF4647"/>
    <w:rsid w:val="00FF7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2A8A"/>
  <w15:docId w15:val="{DA31C8DD-26FD-46D9-9D1A-3CC90E69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C0"/>
    <w:rPr>
      <w:sz w:val="24"/>
      <w:szCs w:val="22"/>
      <w:lang w:val="en-GB"/>
    </w:rPr>
  </w:style>
  <w:style w:type="paragraph" w:styleId="Heading1">
    <w:name w:val="heading 1"/>
    <w:basedOn w:val="Normal"/>
    <w:next w:val="Normal"/>
    <w:link w:val="Heading1Char"/>
    <w:uiPriority w:val="9"/>
    <w:qFormat/>
    <w:rsid w:val="00B0003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B0003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B0003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F91D8D"/>
    <w:pPr>
      <w:keepNext/>
      <w:spacing w:before="240" w:after="60" w:line="276" w:lineRule="auto"/>
      <w:outlineLvl w:val="3"/>
    </w:pPr>
    <w:rPr>
      <w:rFonts w:ascii="Calibri" w:eastAsia="Times New Roman" w:hAnsi="Calibri"/>
      <w:b/>
      <w:bCs/>
      <w:sz w:val="28"/>
      <w:szCs w:val="28"/>
      <w:lang w:val="en-AU" w:eastAsia="en-AU"/>
    </w:rPr>
  </w:style>
  <w:style w:type="paragraph" w:styleId="Heading5">
    <w:name w:val="heading 5"/>
    <w:basedOn w:val="Normal"/>
    <w:link w:val="Heading5Char"/>
    <w:uiPriority w:val="9"/>
    <w:qFormat/>
    <w:rsid w:val="00B02973"/>
    <w:pPr>
      <w:spacing w:before="100" w:beforeAutospacing="1" w:after="100" w:afterAutospacing="1"/>
      <w:outlineLvl w:val="4"/>
    </w:pPr>
    <w:rPr>
      <w:rFonts w:eastAsia="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4E"/>
    <w:rPr>
      <w:rFonts w:ascii="Segoe UI" w:hAnsi="Segoe UI"/>
      <w:sz w:val="18"/>
      <w:szCs w:val="18"/>
      <w:lang w:val="x-none" w:eastAsia="x-none"/>
    </w:rPr>
  </w:style>
  <w:style w:type="character" w:customStyle="1" w:styleId="BalloonTextChar">
    <w:name w:val="Balloon Text Char"/>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List Paragraph1,kepala,spasi 2 taiiii,skripsi,Paragraf ISI,arab,Heading 10,Colorful List - Accent 11,Medium Grid 1 - Accent 21,Body of text+1,Body of text+2,Body of text+3,List Paragraph11,Body of textCxSp,HEADING 1,soal jawa"/>
    <w:basedOn w:val="Normal"/>
    <w:link w:val="ListParagraphChar"/>
    <w:uiPriority w:val="99"/>
    <w:qFormat/>
    <w:rsid w:val="00DE6BA3"/>
    <w:pPr>
      <w:ind w:left="720"/>
      <w:contextualSpacing/>
    </w:pPr>
  </w:style>
  <w:style w:type="character" w:styleId="Hyperlink">
    <w:name w:val="Hyperlink"/>
    <w:uiPriority w:val="99"/>
    <w:unhideWhenUsed/>
    <w:rsid w:val="00E22B9C"/>
    <w:rPr>
      <w:color w:val="0563C1"/>
      <w:u w:val="single"/>
    </w:rPr>
  </w:style>
  <w:style w:type="character" w:styleId="Emphasis">
    <w:name w:val="Emphasis"/>
    <w:uiPriority w:val="20"/>
    <w:qFormat/>
    <w:rsid w:val="00764D3A"/>
    <w:rPr>
      <w:rFonts w:cs="Times New Roman"/>
      <w:i/>
      <w:iCs/>
    </w:rPr>
  </w:style>
  <w:style w:type="character" w:customStyle="1" w:styleId="a">
    <w:name w:val="a"/>
    <w:basedOn w:val="DefaultParagraphFont"/>
    <w:rsid w:val="008A5EAB"/>
  </w:style>
  <w:style w:type="paragraph" w:styleId="FootnoteText">
    <w:name w:val="footnote text"/>
    <w:basedOn w:val="Normal"/>
    <w:link w:val="FootnoteTextChar"/>
    <w:uiPriority w:val="99"/>
    <w:unhideWhenUsed/>
    <w:rsid w:val="008A5EAB"/>
    <w:rPr>
      <w:rFonts w:ascii="Calibri" w:hAnsi="Calibri"/>
      <w:sz w:val="20"/>
      <w:szCs w:val="20"/>
      <w:lang w:val="en-US" w:eastAsia="x-none"/>
    </w:rPr>
  </w:style>
  <w:style w:type="character" w:customStyle="1" w:styleId="FootnoteTextChar">
    <w:name w:val="Footnote Text Char"/>
    <w:link w:val="FootnoteText"/>
    <w:uiPriority w:val="99"/>
    <w:rsid w:val="008A5EAB"/>
    <w:rPr>
      <w:rFonts w:ascii="Calibri" w:eastAsia="Calibri" w:hAnsi="Calibri" w:cs="Times New Roman"/>
      <w:sz w:val="20"/>
      <w:szCs w:val="20"/>
      <w:lang w:val="en-US"/>
    </w:rPr>
  </w:style>
  <w:style w:type="paragraph" w:styleId="Title">
    <w:name w:val="Title"/>
    <w:basedOn w:val="Normal"/>
    <w:link w:val="TitleChar"/>
    <w:uiPriority w:val="10"/>
    <w:qFormat/>
    <w:rsid w:val="0094084A"/>
    <w:pPr>
      <w:jc w:val="center"/>
    </w:pPr>
    <w:rPr>
      <w:rFonts w:ascii="Arial" w:eastAsia="Times New Roman" w:hAnsi="Arial"/>
      <w:b/>
      <w:bCs/>
      <w:sz w:val="20"/>
      <w:szCs w:val="24"/>
      <w:lang w:val="id-ID" w:eastAsia="x-none"/>
    </w:rPr>
  </w:style>
  <w:style w:type="character" w:customStyle="1" w:styleId="TitleChar">
    <w:name w:val="Title Char"/>
    <w:link w:val="Title"/>
    <w:uiPriority w:val="10"/>
    <w:rsid w:val="0094084A"/>
    <w:rPr>
      <w:rFonts w:ascii="Arial" w:eastAsia="Times New Roman" w:hAnsi="Arial" w:cs="Arial"/>
      <w:b/>
      <w:bCs/>
      <w:szCs w:val="24"/>
      <w:lang w:val="id-ID"/>
    </w:rPr>
  </w:style>
  <w:style w:type="character" w:customStyle="1" w:styleId="apple-converted-space">
    <w:name w:val="apple-converted-space"/>
    <w:basedOn w:val="DefaultParagraphFont"/>
    <w:rsid w:val="00541E68"/>
  </w:style>
  <w:style w:type="paragraph" w:customStyle="1" w:styleId="Default">
    <w:name w:val="Default"/>
    <w:rsid w:val="00293C1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Body of text Char,List Paragraph1 Char,kepala Char,spasi 2 taiiii Char,skripsi Char,Paragraf ISI Char,arab Char,Heading 10 Char,Colorful List - Accent 11 Char,Medium Grid 1 - Accent 21 Char,Body of text+1 Char,Body of text+2 Char"/>
    <w:link w:val="ListParagraph"/>
    <w:uiPriority w:val="34"/>
    <w:qFormat/>
    <w:locked/>
    <w:rsid w:val="005A787A"/>
  </w:style>
  <w:style w:type="character" w:styleId="FootnoteReference">
    <w:name w:val="footnote reference"/>
    <w:uiPriority w:val="99"/>
    <w:unhideWhenUsed/>
    <w:rsid w:val="005A787A"/>
    <w:rPr>
      <w:vertAlign w:val="superscript"/>
    </w:rPr>
  </w:style>
  <w:style w:type="paragraph" w:styleId="BodyTextIndent2">
    <w:name w:val="Body Text Indent 2"/>
    <w:basedOn w:val="Normal"/>
    <w:link w:val="BodyTextIndent2Char1"/>
    <w:uiPriority w:val="99"/>
    <w:rsid w:val="00D7310F"/>
    <w:pPr>
      <w:tabs>
        <w:tab w:val="left" w:pos="900"/>
        <w:tab w:val="left" w:pos="1800"/>
      </w:tabs>
      <w:spacing w:line="480" w:lineRule="auto"/>
      <w:ind w:left="540" w:firstLine="720"/>
      <w:jc w:val="both"/>
    </w:pPr>
    <w:rPr>
      <w:rFonts w:eastAsia="Times New Roman"/>
      <w:szCs w:val="24"/>
      <w:lang w:val="x-none" w:eastAsia="x-none"/>
    </w:rPr>
  </w:style>
  <w:style w:type="character" w:customStyle="1" w:styleId="BodyTextIndent2Char">
    <w:name w:val="Body Text Indent 2 Char"/>
    <w:rsid w:val="00D7310F"/>
    <w:rPr>
      <w:sz w:val="24"/>
      <w:szCs w:val="22"/>
      <w:lang w:val="en-GB"/>
    </w:rPr>
  </w:style>
  <w:style w:type="character" w:customStyle="1" w:styleId="BodyTextIndent2Char1">
    <w:name w:val="Body Text Indent 2 Char1"/>
    <w:link w:val="BodyTextIndent2"/>
    <w:uiPriority w:val="99"/>
    <w:locked/>
    <w:rsid w:val="00D7310F"/>
    <w:rPr>
      <w:rFonts w:eastAsia="Times New Roman"/>
      <w:sz w:val="24"/>
      <w:szCs w:val="24"/>
    </w:rPr>
  </w:style>
  <w:style w:type="character" w:customStyle="1" w:styleId="hps">
    <w:name w:val="hps"/>
    <w:rsid w:val="005F595A"/>
  </w:style>
  <w:style w:type="character" w:customStyle="1" w:styleId="shorttext">
    <w:name w:val="short_text"/>
    <w:rsid w:val="005F595A"/>
  </w:style>
  <w:style w:type="character" w:customStyle="1" w:styleId="Heading5Char">
    <w:name w:val="Heading 5 Char"/>
    <w:link w:val="Heading5"/>
    <w:uiPriority w:val="9"/>
    <w:rsid w:val="00B02973"/>
    <w:rPr>
      <w:rFonts w:eastAsia="Times New Roman"/>
      <w:b/>
      <w:bCs/>
      <w:lang w:val="en-US" w:eastAsia="en-US"/>
    </w:rPr>
  </w:style>
  <w:style w:type="paragraph" w:styleId="NoSpacing">
    <w:name w:val="No Spacing"/>
    <w:link w:val="NoSpacingChar"/>
    <w:uiPriority w:val="1"/>
    <w:qFormat/>
    <w:rsid w:val="00810537"/>
    <w:rPr>
      <w:rFonts w:ascii="Calibri" w:eastAsia="Times New Roman" w:hAnsi="Calibri"/>
      <w:sz w:val="22"/>
      <w:szCs w:val="22"/>
      <w:lang w:val="id-ID" w:eastAsia="id-ID"/>
    </w:rPr>
  </w:style>
  <w:style w:type="paragraph" w:styleId="BlockText">
    <w:name w:val="Block Text"/>
    <w:basedOn w:val="Normal"/>
    <w:rsid w:val="00937E25"/>
    <w:pPr>
      <w:spacing w:line="360" w:lineRule="auto"/>
      <w:ind w:left="284" w:right="284" w:firstLine="720"/>
      <w:jc w:val="both"/>
    </w:pPr>
    <w:rPr>
      <w:rFonts w:eastAsia="Times New Roman"/>
      <w:szCs w:val="24"/>
      <w:lang w:val="en-US"/>
    </w:rPr>
  </w:style>
  <w:style w:type="paragraph" w:styleId="BodyText">
    <w:name w:val="Body Text"/>
    <w:basedOn w:val="Normal"/>
    <w:link w:val="BodyTextChar"/>
    <w:uiPriority w:val="99"/>
    <w:unhideWhenUsed/>
    <w:rsid w:val="00937E25"/>
    <w:pPr>
      <w:spacing w:after="120"/>
    </w:pPr>
  </w:style>
  <w:style w:type="character" w:customStyle="1" w:styleId="BodyTextChar">
    <w:name w:val="Body Text Char"/>
    <w:link w:val="BodyText"/>
    <w:uiPriority w:val="99"/>
    <w:rsid w:val="00937E25"/>
    <w:rPr>
      <w:sz w:val="24"/>
      <w:szCs w:val="22"/>
      <w:lang w:val="en-GB" w:eastAsia="en-US"/>
    </w:rPr>
  </w:style>
  <w:style w:type="paragraph" w:styleId="BodyTextIndent">
    <w:name w:val="Body Text Indent"/>
    <w:basedOn w:val="Normal"/>
    <w:link w:val="BodyTextIndentChar"/>
    <w:rsid w:val="00937E25"/>
    <w:pPr>
      <w:spacing w:after="120"/>
      <w:ind w:left="283"/>
    </w:pPr>
    <w:rPr>
      <w:rFonts w:eastAsia="Times New Roman"/>
      <w:szCs w:val="24"/>
      <w:lang w:val="en-US"/>
    </w:rPr>
  </w:style>
  <w:style w:type="character" w:customStyle="1" w:styleId="BodyTextIndentChar">
    <w:name w:val="Body Text Indent Char"/>
    <w:link w:val="BodyTextIndent"/>
    <w:rsid w:val="00937E25"/>
    <w:rPr>
      <w:rFonts w:eastAsia="Times New Roman"/>
      <w:sz w:val="24"/>
      <w:szCs w:val="24"/>
      <w:lang w:val="en-US" w:eastAsia="en-US"/>
    </w:rPr>
  </w:style>
  <w:style w:type="character" w:customStyle="1" w:styleId="ShortAbstract">
    <w:name w:val="Short Abstract"/>
    <w:rsid w:val="00DB45DE"/>
    <w:rPr>
      <w:rFonts w:ascii="Times New Roman" w:eastAsia="Times New Roman" w:hAnsi="Times New Roman"/>
      <w:sz w:val="20"/>
    </w:rPr>
  </w:style>
  <w:style w:type="character" w:styleId="Strong">
    <w:name w:val="Strong"/>
    <w:uiPriority w:val="22"/>
    <w:qFormat/>
    <w:rsid w:val="00C43A24"/>
    <w:rPr>
      <w:rFonts w:cs="Times New Roman"/>
      <w:b/>
      <w:bCs/>
    </w:rPr>
  </w:style>
  <w:style w:type="character" w:customStyle="1" w:styleId="Heading2Char">
    <w:name w:val="Heading 2 Char"/>
    <w:link w:val="Heading2"/>
    <w:uiPriority w:val="9"/>
    <w:semiHidden/>
    <w:rsid w:val="00B00036"/>
    <w:rPr>
      <w:rFonts w:ascii="Calibri Light" w:eastAsia="Times New Roman" w:hAnsi="Calibri Light" w:cs="Times New Roman"/>
      <w:b/>
      <w:bCs/>
      <w:i/>
      <w:iCs/>
      <w:sz w:val="28"/>
      <w:szCs w:val="28"/>
      <w:lang w:val="en-GB" w:eastAsia="en-US"/>
    </w:rPr>
  </w:style>
  <w:style w:type="character" w:customStyle="1" w:styleId="Heading3Char">
    <w:name w:val="Heading 3 Char"/>
    <w:link w:val="Heading3"/>
    <w:uiPriority w:val="9"/>
    <w:rsid w:val="00B00036"/>
    <w:rPr>
      <w:rFonts w:ascii="Calibri Light" w:eastAsia="Times New Roman" w:hAnsi="Calibri Light" w:cs="Times New Roman"/>
      <w:b/>
      <w:bCs/>
      <w:sz w:val="26"/>
      <w:szCs w:val="26"/>
      <w:lang w:val="en-GB" w:eastAsia="en-US"/>
    </w:rPr>
  </w:style>
  <w:style w:type="character" w:customStyle="1" w:styleId="Heading1Char">
    <w:name w:val="Heading 1 Char"/>
    <w:link w:val="Heading1"/>
    <w:rsid w:val="00B00036"/>
    <w:rPr>
      <w:rFonts w:ascii="Calibri Light" w:eastAsia="Times New Roman" w:hAnsi="Calibri Light" w:cs="Times New Roman"/>
      <w:b/>
      <w:bCs/>
      <w:kern w:val="32"/>
      <w:sz w:val="32"/>
      <w:szCs w:val="32"/>
      <w:lang w:val="en-GB" w:eastAsia="en-US"/>
    </w:rPr>
  </w:style>
  <w:style w:type="table" w:styleId="TableGrid">
    <w:name w:val="Table Grid"/>
    <w:basedOn w:val="TableNormal"/>
    <w:uiPriority w:val="39"/>
    <w:rsid w:val="0037070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53F5"/>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C2A4E"/>
    <w:rPr>
      <w:i/>
      <w:iCs/>
      <w:color w:val="808080"/>
    </w:rPr>
  </w:style>
  <w:style w:type="paragraph" w:customStyle="1" w:styleId="PARAGRAF">
    <w:name w:val="PARAGRAF"/>
    <w:basedOn w:val="Normal"/>
    <w:link w:val="PARAGRAFChar"/>
    <w:qFormat/>
    <w:rsid w:val="007C2A4E"/>
    <w:pPr>
      <w:tabs>
        <w:tab w:val="left" w:pos="270"/>
      </w:tabs>
      <w:spacing w:line="480" w:lineRule="auto"/>
      <w:ind w:left="567" w:firstLine="567"/>
      <w:jc w:val="both"/>
    </w:pPr>
    <w:rPr>
      <w:szCs w:val="24"/>
      <w:lang w:val="id-ID"/>
    </w:rPr>
  </w:style>
  <w:style w:type="character" w:customStyle="1" w:styleId="PARAGRAFChar">
    <w:name w:val="PARAGRAF Char"/>
    <w:link w:val="PARAGRAF"/>
    <w:rsid w:val="007C2A4E"/>
    <w:rPr>
      <w:sz w:val="24"/>
      <w:szCs w:val="24"/>
      <w:lang w:val="id-ID"/>
    </w:rPr>
  </w:style>
  <w:style w:type="paragraph" w:customStyle="1" w:styleId="PAARAGRAF">
    <w:name w:val="PAARAGRAF"/>
    <w:basedOn w:val="Normal"/>
    <w:link w:val="PAARAGRAFChar"/>
    <w:qFormat/>
    <w:rsid w:val="007C2A4E"/>
    <w:pPr>
      <w:spacing w:line="480" w:lineRule="auto"/>
      <w:ind w:left="567" w:firstLine="567"/>
      <w:jc w:val="both"/>
    </w:pPr>
    <w:rPr>
      <w:szCs w:val="24"/>
      <w:lang w:val="id-ID"/>
    </w:rPr>
  </w:style>
  <w:style w:type="character" w:customStyle="1" w:styleId="PAARAGRAFChar">
    <w:name w:val="PAARAGRAF Char"/>
    <w:link w:val="PAARAGRAF"/>
    <w:rsid w:val="007C2A4E"/>
    <w:rPr>
      <w:sz w:val="24"/>
      <w:szCs w:val="24"/>
      <w:lang w:val="id-ID"/>
    </w:rPr>
  </w:style>
  <w:style w:type="paragraph" w:customStyle="1" w:styleId="DecimalAligned">
    <w:name w:val="Decimal Aligned"/>
    <w:basedOn w:val="Normal"/>
    <w:uiPriority w:val="40"/>
    <w:qFormat/>
    <w:rsid w:val="007C2A4E"/>
    <w:pPr>
      <w:tabs>
        <w:tab w:val="decimal" w:pos="360"/>
      </w:tabs>
      <w:spacing w:after="200" w:line="276" w:lineRule="auto"/>
    </w:pPr>
    <w:rPr>
      <w:rFonts w:ascii="Calibri" w:hAnsi="Calibri" w:cs="Arial"/>
      <w:sz w:val="22"/>
      <w:lang w:val="en-US" w:eastAsia="ja-JP"/>
    </w:rPr>
  </w:style>
  <w:style w:type="character" w:customStyle="1" w:styleId="tlid-translation">
    <w:name w:val="tlid-translation"/>
    <w:rsid w:val="007C2A4E"/>
  </w:style>
  <w:style w:type="character" w:customStyle="1" w:styleId="fontstyle01">
    <w:name w:val="fontstyle01"/>
    <w:rsid w:val="001A4DED"/>
    <w:rPr>
      <w:rFonts w:ascii="TimesNewRoman" w:hAnsi="TimesNewRoman" w:hint="default"/>
      <w:b w:val="0"/>
      <w:bCs w:val="0"/>
      <w:i w:val="0"/>
      <w:iCs w:val="0"/>
      <w:color w:val="000000"/>
      <w:sz w:val="24"/>
      <w:szCs w:val="24"/>
    </w:rPr>
  </w:style>
  <w:style w:type="character" w:customStyle="1" w:styleId="apple-style-span">
    <w:name w:val="apple-style-span"/>
    <w:rsid w:val="00A4596A"/>
  </w:style>
  <w:style w:type="character" w:styleId="UnresolvedMention">
    <w:name w:val="Unresolved Mention"/>
    <w:uiPriority w:val="99"/>
    <w:semiHidden/>
    <w:unhideWhenUsed/>
    <w:rsid w:val="002A7721"/>
    <w:rPr>
      <w:color w:val="605E5C"/>
      <w:shd w:val="clear" w:color="auto" w:fill="E1DFDD"/>
    </w:rPr>
  </w:style>
  <w:style w:type="paragraph" w:customStyle="1" w:styleId="TableParagraph">
    <w:name w:val="Table Paragraph"/>
    <w:basedOn w:val="Normal"/>
    <w:uiPriority w:val="1"/>
    <w:qFormat/>
    <w:rsid w:val="00867D16"/>
    <w:pPr>
      <w:widowControl w:val="0"/>
      <w:autoSpaceDE w:val="0"/>
      <w:autoSpaceDN w:val="0"/>
      <w:spacing w:before="54"/>
      <w:ind w:left="108"/>
    </w:pPr>
    <w:rPr>
      <w:rFonts w:eastAsia="Times New Roman"/>
      <w:sz w:val="22"/>
      <w:lang w:val="en-US"/>
    </w:rPr>
  </w:style>
  <w:style w:type="paragraph" w:styleId="NormalWeb">
    <w:name w:val="Normal (Web)"/>
    <w:basedOn w:val="Normal"/>
    <w:uiPriority w:val="99"/>
    <w:unhideWhenUsed/>
    <w:rsid w:val="00554B8E"/>
    <w:pPr>
      <w:spacing w:before="100" w:beforeAutospacing="1" w:after="100" w:afterAutospacing="1"/>
    </w:pPr>
    <w:rPr>
      <w:rFonts w:eastAsia="Times New Roman"/>
      <w:szCs w:val="24"/>
      <w:lang w:val="en-US"/>
    </w:rPr>
  </w:style>
  <w:style w:type="character" w:styleId="FollowedHyperlink">
    <w:name w:val="FollowedHyperlink"/>
    <w:uiPriority w:val="99"/>
    <w:semiHidden/>
    <w:unhideWhenUsed/>
    <w:rsid w:val="009E6F3E"/>
    <w:rPr>
      <w:color w:val="954F72"/>
      <w:u w:val="single"/>
    </w:rPr>
  </w:style>
  <w:style w:type="character" w:customStyle="1" w:styleId="spelle">
    <w:name w:val="spelle"/>
    <w:rsid w:val="000C59D2"/>
  </w:style>
  <w:style w:type="character" w:customStyle="1" w:styleId="grame">
    <w:name w:val="grame"/>
    <w:rsid w:val="000C59D2"/>
  </w:style>
  <w:style w:type="character" w:customStyle="1" w:styleId="hlfld-contribauthor">
    <w:name w:val="hlfld-contribauthor"/>
    <w:rsid w:val="000C59D2"/>
  </w:style>
  <w:style w:type="character" w:customStyle="1" w:styleId="nlmarticle-title">
    <w:name w:val="nlm_article-title"/>
    <w:rsid w:val="000C59D2"/>
  </w:style>
  <w:style w:type="character" w:customStyle="1" w:styleId="nlmpublisher-loc">
    <w:name w:val="nlm_publisher-loc"/>
    <w:rsid w:val="000C59D2"/>
  </w:style>
  <w:style w:type="character" w:customStyle="1" w:styleId="nlmpublisher-name">
    <w:name w:val="nlm_publisher-name"/>
    <w:rsid w:val="000C59D2"/>
  </w:style>
  <w:style w:type="paragraph" w:styleId="EndnoteText">
    <w:name w:val="endnote text"/>
    <w:basedOn w:val="Normal"/>
    <w:link w:val="EndnoteTextChar"/>
    <w:uiPriority w:val="99"/>
    <w:unhideWhenUsed/>
    <w:rsid w:val="00C466E8"/>
    <w:rPr>
      <w:sz w:val="20"/>
      <w:szCs w:val="20"/>
      <w:lang w:val="en-US"/>
    </w:rPr>
  </w:style>
  <w:style w:type="character" w:customStyle="1" w:styleId="EndnoteTextChar">
    <w:name w:val="Endnote Text Char"/>
    <w:basedOn w:val="DefaultParagraphFont"/>
    <w:link w:val="EndnoteText"/>
    <w:uiPriority w:val="99"/>
    <w:rsid w:val="00C466E8"/>
  </w:style>
  <w:style w:type="character" w:customStyle="1" w:styleId="NoSpacingChar">
    <w:name w:val="No Spacing Char"/>
    <w:link w:val="NoSpacing"/>
    <w:uiPriority w:val="1"/>
    <w:rsid w:val="00C466E8"/>
    <w:rPr>
      <w:rFonts w:ascii="Calibri" w:eastAsia="Times New Roman" w:hAnsi="Calibri"/>
      <w:sz w:val="22"/>
      <w:szCs w:val="22"/>
      <w:lang w:val="id-ID" w:eastAsia="id-ID"/>
    </w:rPr>
  </w:style>
  <w:style w:type="character" w:customStyle="1" w:styleId="heading50">
    <w:name w:val="heading5"/>
    <w:rsid w:val="00C466E8"/>
  </w:style>
  <w:style w:type="character" w:customStyle="1" w:styleId="heading30">
    <w:name w:val="heading3"/>
    <w:rsid w:val="00C466E8"/>
  </w:style>
  <w:style w:type="paragraph" w:styleId="Bibliography">
    <w:name w:val="Bibliography"/>
    <w:basedOn w:val="Normal"/>
    <w:next w:val="Normal"/>
    <w:uiPriority w:val="37"/>
    <w:unhideWhenUsed/>
    <w:rsid w:val="00021F5D"/>
    <w:pPr>
      <w:spacing w:after="200" w:line="276" w:lineRule="auto"/>
    </w:pPr>
    <w:rPr>
      <w:rFonts w:ascii="Calibri" w:hAnsi="Calibri" w:cs="Arial"/>
      <w:sz w:val="22"/>
    </w:rPr>
  </w:style>
  <w:style w:type="character" w:styleId="CommentReference">
    <w:name w:val="annotation reference"/>
    <w:uiPriority w:val="99"/>
    <w:semiHidden/>
    <w:unhideWhenUsed/>
    <w:rsid w:val="00FD202F"/>
    <w:rPr>
      <w:sz w:val="16"/>
      <w:szCs w:val="16"/>
    </w:rPr>
  </w:style>
  <w:style w:type="paragraph" w:styleId="CommentText">
    <w:name w:val="annotation text"/>
    <w:basedOn w:val="Normal"/>
    <w:link w:val="CommentTextChar"/>
    <w:uiPriority w:val="99"/>
    <w:semiHidden/>
    <w:unhideWhenUsed/>
    <w:rsid w:val="00FD202F"/>
    <w:rPr>
      <w:sz w:val="20"/>
      <w:szCs w:val="20"/>
    </w:rPr>
  </w:style>
  <w:style w:type="character" w:customStyle="1" w:styleId="CommentTextChar">
    <w:name w:val="Comment Text Char"/>
    <w:link w:val="CommentText"/>
    <w:uiPriority w:val="99"/>
    <w:semiHidden/>
    <w:rsid w:val="00FD202F"/>
    <w:rPr>
      <w:lang w:val="en-GB"/>
    </w:rPr>
  </w:style>
  <w:style w:type="paragraph" w:styleId="CommentSubject">
    <w:name w:val="annotation subject"/>
    <w:basedOn w:val="CommentText"/>
    <w:next w:val="CommentText"/>
    <w:link w:val="CommentSubjectChar"/>
    <w:uiPriority w:val="99"/>
    <w:semiHidden/>
    <w:unhideWhenUsed/>
    <w:rsid w:val="00FD202F"/>
    <w:rPr>
      <w:b/>
      <w:bCs/>
    </w:rPr>
  </w:style>
  <w:style w:type="character" w:customStyle="1" w:styleId="CommentSubjectChar">
    <w:name w:val="Comment Subject Char"/>
    <w:link w:val="CommentSubject"/>
    <w:uiPriority w:val="99"/>
    <w:semiHidden/>
    <w:rsid w:val="00FD202F"/>
    <w:rPr>
      <w:b/>
      <w:bCs/>
      <w:lang w:val="en-GB"/>
    </w:rPr>
  </w:style>
  <w:style w:type="table" w:styleId="PlainTable4">
    <w:name w:val="Plain Table 4"/>
    <w:basedOn w:val="TableNormal"/>
    <w:uiPriority w:val="44"/>
    <w:rsid w:val="00F91D8D"/>
    <w:rPr>
      <w:rFonts w:ascii="Calibri" w:eastAsia="Times New Roman"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link w:val="Heading4"/>
    <w:uiPriority w:val="9"/>
    <w:semiHidden/>
    <w:rsid w:val="00F91D8D"/>
    <w:rPr>
      <w:rFonts w:ascii="Calibri" w:eastAsia="Times New Roman" w:hAnsi="Calibri"/>
      <w:b/>
      <w:bCs/>
      <w:sz w:val="28"/>
      <w:szCs w:val="28"/>
      <w:lang w:val="en-AU" w:eastAsia="en-AU"/>
    </w:rPr>
  </w:style>
  <w:style w:type="table" w:styleId="PlainTable2">
    <w:name w:val="Plain Table 2"/>
    <w:basedOn w:val="TableNormal"/>
    <w:uiPriority w:val="42"/>
    <w:rsid w:val="00F91D8D"/>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Classic2">
    <w:name w:val="Table Classic 2"/>
    <w:basedOn w:val="TableNormal"/>
    <w:uiPriority w:val="99"/>
    <w:rsid w:val="00F91D8D"/>
    <w:pPr>
      <w:spacing w:after="200" w:line="276" w:lineRule="auto"/>
    </w:pPr>
    <w:rPr>
      <w:rFonts w:ascii="Calibri" w:eastAsia="Times New Roman"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uiPriority w:val="99"/>
    <w:rsid w:val="00F91D8D"/>
    <w:pPr>
      <w:spacing w:after="200" w:line="276" w:lineRule="auto"/>
    </w:pPr>
    <w:rPr>
      <w:rFonts w:ascii="Calibri" w:eastAsia="Times New Roman"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uiPriority w:val="99"/>
    <w:rsid w:val="00F91D8D"/>
    <w:pPr>
      <w:spacing w:after="200" w:line="276" w:lineRule="auto"/>
    </w:pPr>
    <w:rPr>
      <w:rFonts w:ascii="Calibri" w:eastAsia="Times New Roman"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aption">
    <w:name w:val="caption"/>
    <w:basedOn w:val="Normal"/>
    <w:next w:val="Normal"/>
    <w:uiPriority w:val="35"/>
    <w:qFormat/>
    <w:rsid w:val="00D31660"/>
    <w:pPr>
      <w:suppressAutoHyphens/>
      <w:spacing w:after="200"/>
    </w:pPr>
    <w:rPr>
      <w:rFonts w:ascii="Calibri" w:hAnsi="Calibri" w:cs="Calibri"/>
      <w:i/>
      <w:iCs/>
      <w:color w:val="1F497D"/>
      <w:sz w:val="18"/>
      <w:szCs w:val="18"/>
      <w:lang w:val="en-US" w:eastAsia="ar-SA"/>
    </w:rPr>
  </w:style>
  <w:style w:type="paragraph" w:customStyle="1" w:styleId="WW-Default">
    <w:name w:val="WW-Default"/>
    <w:rsid w:val="00D31660"/>
    <w:pPr>
      <w:suppressAutoHyphens/>
      <w:autoSpaceDE w:val="0"/>
    </w:pPr>
    <w:rPr>
      <w:color w:val="000000"/>
      <w:sz w:val="24"/>
      <w:szCs w:val="24"/>
      <w:lang w:val="id-ID" w:eastAsia="ar-SA"/>
    </w:rPr>
  </w:style>
  <w:style w:type="paragraph" w:customStyle="1" w:styleId="MediumShading1-Accent11">
    <w:name w:val="Medium Shading 1 - Accent 11"/>
    <w:uiPriority w:val="1"/>
    <w:qFormat/>
    <w:rsid w:val="001B08FF"/>
    <w:rPr>
      <w:rFonts w:ascii="Calibri" w:eastAsia="Times New Roman" w:hAnsi="Calibri"/>
      <w:sz w:val="22"/>
      <w:szCs w:val="22"/>
      <w:lang w:val="id-ID" w:eastAsia="id-ID"/>
    </w:rPr>
  </w:style>
  <w:style w:type="paragraph" w:customStyle="1" w:styleId="JudulGambar">
    <w:name w:val="Judul_Gambar"/>
    <w:basedOn w:val="Caption"/>
    <w:rsid w:val="00C25EE1"/>
    <w:pPr>
      <w:suppressAutoHyphens w:val="0"/>
      <w:overflowPunct w:val="0"/>
      <w:autoSpaceDE w:val="0"/>
      <w:autoSpaceDN w:val="0"/>
      <w:adjustRightInd w:val="0"/>
      <w:spacing w:before="120" w:after="120"/>
      <w:jc w:val="center"/>
      <w:textAlignment w:val="baseline"/>
    </w:pPr>
    <w:rPr>
      <w:rFonts w:ascii="Times New Roman" w:eastAsia="Times New Roman" w:hAnsi="Times New Roman" w:cs="Times New Roman"/>
      <w:bCs/>
      <w:i w:val="0"/>
      <w:iCs w:val="0"/>
      <w:color w:val="auto"/>
      <w:sz w:val="20"/>
      <w:szCs w:val="20"/>
      <w:lang w:val="en-GB" w:eastAsia="zh-CN"/>
    </w:rPr>
  </w:style>
  <w:style w:type="table" w:styleId="LightShading">
    <w:name w:val="Light Shading"/>
    <w:basedOn w:val="TableNormal"/>
    <w:uiPriority w:val="60"/>
    <w:rsid w:val="005B34C4"/>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erencemixed-citation">
    <w:name w:val="reference__mixed-citation"/>
    <w:basedOn w:val="DefaultParagraphFont"/>
    <w:rsid w:val="00324C24"/>
  </w:style>
  <w:style w:type="character" w:customStyle="1" w:styleId="referenceperson-group">
    <w:name w:val="reference__person-group"/>
    <w:basedOn w:val="DefaultParagraphFont"/>
    <w:rsid w:val="00324C24"/>
  </w:style>
  <w:style w:type="character" w:customStyle="1" w:styleId="referencestring-name">
    <w:name w:val="reference__string-name"/>
    <w:basedOn w:val="DefaultParagraphFont"/>
    <w:rsid w:val="00324C24"/>
  </w:style>
  <w:style w:type="character" w:customStyle="1" w:styleId="referencesurname">
    <w:name w:val="reference__surname"/>
    <w:basedOn w:val="DefaultParagraphFont"/>
    <w:rsid w:val="00324C24"/>
  </w:style>
  <w:style w:type="character" w:customStyle="1" w:styleId="referencegiven-names">
    <w:name w:val="reference__given-names"/>
    <w:basedOn w:val="DefaultParagraphFont"/>
    <w:rsid w:val="00324C24"/>
  </w:style>
  <w:style w:type="character" w:customStyle="1" w:styleId="referenceyear">
    <w:name w:val="reference__year"/>
    <w:basedOn w:val="DefaultParagraphFont"/>
    <w:rsid w:val="00324C24"/>
  </w:style>
  <w:style w:type="character" w:customStyle="1" w:styleId="referencearticle-title">
    <w:name w:val="reference__article-title"/>
    <w:basedOn w:val="DefaultParagraphFont"/>
    <w:rsid w:val="00324C24"/>
  </w:style>
  <w:style w:type="character" w:customStyle="1" w:styleId="referenceconf-name">
    <w:name w:val="reference__conf-name"/>
    <w:basedOn w:val="DefaultParagraphFont"/>
    <w:rsid w:val="00324C24"/>
  </w:style>
  <w:style w:type="character" w:customStyle="1" w:styleId="referencesource">
    <w:name w:val="reference__source"/>
    <w:basedOn w:val="DefaultParagraphFont"/>
    <w:rsid w:val="00324C24"/>
  </w:style>
  <w:style w:type="character" w:customStyle="1" w:styleId="referencevolume">
    <w:name w:val="reference__volume"/>
    <w:basedOn w:val="DefaultParagraphFont"/>
    <w:rsid w:val="00324C24"/>
  </w:style>
  <w:style w:type="character" w:customStyle="1" w:styleId="referenceissue">
    <w:name w:val="reference__issue"/>
    <w:basedOn w:val="DefaultParagraphFont"/>
    <w:rsid w:val="00324C24"/>
  </w:style>
  <w:style w:type="character" w:customStyle="1" w:styleId="referencepub-id">
    <w:name w:val="reference__pub-id"/>
    <w:basedOn w:val="DefaultParagraphFont"/>
    <w:rsid w:val="0032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433">
      <w:bodyDiv w:val="1"/>
      <w:marLeft w:val="0"/>
      <w:marRight w:val="0"/>
      <w:marTop w:val="0"/>
      <w:marBottom w:val="0"/>
      <w:divBdr>
        <w:top w:val="none" w:sz="0" w:space="0" w:color="auto"/>
        <w:left w:val="none" w:sz="0" w:space="0" w:color="auto"/>
        <w:bottom w:val="none" w:sz="0" w:space="0" w:color="auto"/>
        <w:right w:val="none" w:sz="0" w:space="0" w:color="auto"/>
      </w:divBdr>
    </w:div>
    <w:div w:id="115412443">
      <w:bodyDiv w:val="1"/>
      <w:marLeft w:val="0"/>
      <w:marRight w:val="0"/>
      <w:marTop w:val="0"/>
      <w:marBottom w:val="0"/>
      <w:divBdr>
        <w:top w:val="none" w:sz="0" w:space="0" w:color="auto"/>
        <w:left w:val="none" w:sz="0" w:space="0" w:color="auto"/>
        <w:bottom w:val="none" w:sz="0" w:space="0" w:color="auto"/>
        <w:right w:val="none" w:sz="0" w:space="0" w:color="auto"/>
      </w:divBdr>
    </w:div>
    <w:div w:id="461119320">
      <w:bodyDiv w:val="1"/>
      <w:marLeft w:val="0"/>
      <w:marRight w:val="0"/>
      <w:marTop w:val="0"/>
      <w:marBottom w:val="0"/>
      <w:divBdr>
        <w:top w:val="none" w:sz="0" w:space="0" w:color="auto"/>
        <w:left w:val="none" w:sz="0" w:space="0" w:color="auto"/>
        <w:bottom w:val="none" w:sz="0" w:space="0" w:color="auto"/>
        <w:right w:val="none" w:sz="0" w:space="0" w:color="auto"/>
      </w:divBdr>
    </w:div>
    <w:div w:id="787505493">
      <w:bodyDiv w:val="1"/>
      <w:marLeft w:val="0"/>
      <w:marRight w:val="0"/>
      <w:marTop w:val="0"/>
      <w:marBottom w:val="0"/>
      <w:divBdr>
        <w:top w:val="none" w:sz="0" w:space="0" w:color="auto"/>
        <w:left w:val="none" w:sz="0" w:space="0" w:color="auto"/>
        <w:bottom w:val="none" w:sz="0" w:space="0" w:color="auto"/>
        <w:right w:val="none" w:sz="0" w:space="0" w:color="auto"/>
      </w:divBdr>
    </w:div>
    <w:div w:id="918293510">
      <w:bodyDiv w:val="1"/>
      <w:marLeft w:val="0"/>
      <w:marRight w:val="0"/>
      <w:marTop w:val="0"/>
      <w:marBottom w:val="0"/>
      <w:divBdr>
        <w:top w:val="none" w:sz="0" w:space="0" w:color="auto"/>
        <w:left w:val="none" w:sz="0" w:space="0" w:color="auto"/>
        <w:bottom w:val="none" w:sz="0" w:space="0" w:color="auto"/>
        <w:right w:val="none" w:sz="0" w:space="0" w:color="auto"/>
      </w:divBdr>
    </w:div>
    <w:div w:id="1444880274">
      <w:bodyDiv w:val="1"/>
      <w:marLeft w:val="0"/>
      <w:marRight w:val="0"/>
      <w:marTop w:val="0"/>
      <w:marBottom w:val="0"/>
      <w:divBdr>
        <w:top w:val="none" w:sz="0" w:space="0" w:color="auto"/>
        <w:left w:val="none" w:sz="0" w:space="0" w:color="auto"/>
        <w:bottom w:val="none" w:sz="0" w:space="0" w:color="auto"/>
        <w:right w:val="none" w:sz="0" w:space="0" w:color="auto"/>
      </w:divBdr>
    </w:div>
    <w:div w:id="1544904029">
      <w:bodyDiv w:val="1"/>
      <w:marLeft w:val="0"/>
      <w:marRight w:val="0"/>
      <w:marTop w:val="0"/>
      <w:marBottom w:val="0"/>
      <w:divBdr>
        <w:top w:val="none" w:sz="0" w:space="0" w:color="auto"/>
        <w:left w:val="none" w:sz="0" w:space="0" w:color="auto"/>
        <w:bottom w:val="none" w:sz="0" w:space="0" w:color="auto"/>
        <w:right w:val="none" w:sz="0" w:space="0" w:color="auto"/>
      </w:divBdr>
    </w:div>
    <w:div w:id="1648432132">
      <w:bodyDiv w:val="1"/>
      <w:marLeft w:val="0"/>
      <w:marRight w:val="0"/>
      <w:marTop w:val="0"/>
      <w:marBottom w:val="0"/>
      <w:divBdr>
        <w:top w:val="none" w:sz="0" w:space="0" w:color="auto"/>
        <w:left w:val="none" w:sz="0" w:space="0" w:color="auto"/>
        <w:bottom w:val="none" w:sz="0" w:space="0" w:color="auto"/>
        <w:right w:val="none" w:sz="0" w:space="0" w:color="auto"/>
      </w:divBdr>
    </w:div>
    <w:div w:id="19857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hanging@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s://licensebuttons.net/l/by-nc/4.0/88x31.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Sug12</b:Tag>
    <b:SourceType>Book</b:SourceType>
    <b:Guid>{71279B9F-A0BC-4AD6-AA55-06419A76CA11}</b:Guid>
    <b:Title>Metodologi Penelitian Kombinasi</b:Title>
    <b:Year>2012</b:Year>
    <b:Author>
      <b:Author>
        <b:NameList>
          <b:Person>
            <b:Last>Sugiyono</b:Last>
          </b:Person>
        </b:NameList>
      </b:Author>
    </b:Author>
    <b:City>Bandung</b:City>
    <b:Publisher>Cv. Alfabeta</b:Publisher>
    <b:RefOrder>19</b:RefOrder>
  </b:Source>
  <b:Source>
    <b:Tag>Sug13</b:Tag>
    <b:SourceType>Book</b:SourceType>
    <b:Guid>{C70912E2-80AD-46C4-83EB-C704AEFEA969}</b:Guid>
    <b:Author>
      <b:Author>
        <b:Corporate>Sugiyono</b:Corporate>
      </b:Author>
    </b:Author>
    <b:Title>Metodologi Penelitian Administrasi.edisi 3</b:Title>
    <b:Year>2013</b:Year>
    <b:City>Bandung</b:City>
    <b:Publisher>CV. Alfabeta</b:Publisher>
    <b:RefOrder>20</b:RefOrder>
  </b:Source>
  <b:Source>
    <b:Tag>Fen17</b:Tag>
    <b:SourceType>Book</b:SourceType>
    <b:Guid>{65E71F4B-D3A0-47E7-B4FA-8EE44B011B88}</b:Guid>
    <b:Author>
      <b:Author>
        <b:NameList>
          <b:Person>
            <b:Last>Hikmawati</b:Last>
            <b:First>Fenti</b:First>
          </b:Person>
        </b:NameList>
      </b:Author>
    </b:Author>
    <b:Title>Metodologi Penelitian</b:Title>
    <b:Year>2017</b:Year>
    <b:City>Depok</b:City>
    <b:Publisher>Rajawali Pers</b:Publisher>
    <b:RefOrder>21</b:RefOrder>
  </b:Source>
  <b:Source>
    <b:Tag>Cah16</b:Tag>
    <b:SourceType>JournalArticle</b:SourceType>
    <b:Guid>{C7100779-27C2-403C-8FFF-BDD9114CA2EF}</b:Guid>
    <b:Title>Pengaruh Kesadaran, Sosialisasi, Akuntabilitas Pelayanan dan Sanksi Perpajakan pada Kepatuhan Wajib Pajak Kendaraan Bermotor</b:Title>
    <b:JournalName>E-Jurnal Akuntansi Universitas Udayana Vol.16</b:JournalName>
    <b:Year>2016</b:Year>
    <b:Pages>2342-2372</b:Pages>
    <b:Author>
      <b:Author>
        <b:NameList>
          <b:Person>
            <b:Last>Cahyadi</b:Last>
            <b:First>I</b:First>
            <b:Middle>Made Wahyu dan I Ketut Jati</b:Middle>
          </b:Person>
        </b:NameList>
      </b:Author>
    </b:Author>
    <b:RefOrder>1</b:RefOrder>
  </b:Source>
  <b:Source>
    <b:Tag>Les16</b:Tag>
    <b:SourceType>JournalArticle</b:SourceType>
    <b:Guid>{2D8DC0AF-5343-4815-80AF-2EC690B7573A}</b:Guid>
    <b:Title>Faktor-faktor yang mempengaruhi kepatuahan wajib pajak dalam membayar pajak kendaraan bermotor studi pada SAMSAT kabupaten Selayar</b:Title>
    <b:Year>2016</b:Year>
    <b:JournalName>Skripsi, Fakultas Ekonomi dan Bisnis Universitas Hasanuddin</b:JournalName>
    <b:Author>
      <b:Author>
        <b:NameList>
          <b:Person>
            <b:Last>Lestari</b:Last>
            <b:First>Nur</b:First>
            <b:Middle>Wachida Cintya</b:Middle>
          </b:Person>
        </b:NameList>
      </b:Author>
    </b:Author>
    <b:RefOrder>2</b:RefOrder>
  </b:Source>
  <b:Source>
    <b:Tag>Win13</b:Tag>
    <b:SourceType>JournalArticle</b:SourceType>
    <b:Guid>{882BA4D9-88F4-471C-85DC-62F2417B1821}</b:Guid>
    <b:Title>Sosialisasi perpajakan, pelayanan fiskus dan sanksi perpajakan terhadap kepatuhan WPOP di KPP Manado dan KPP Bitung</b:Title>
    <b:JournalName>Jurnal Emba, Vol.1</b:JournalName>
    <b:Year>2013</b:Year>
    <b:Pages>960-970</b:Pages>
    <b:Author>
      <b:Author>
        <b:NameList>
          <b:Person>
            <b:Last>Winerungan</b:Last>
            <b:First>oktaviane Lidya</b:First>
          </b:Person>
        </b:NameList>
      </b:Author>
    </b:Author>
    <b:RefOrder>3</b:RefOrder>
  </b:Source>
  <b:Source>
    <b:Tag>Put12</b:Tag>
    <b:SourceType>JournalArticle</b:SourceType>
    <b:Guid>{22E754FC-4BC2-4BAC-B98C-773E84909962}</b:Guid>
    <b:Title>Faktor-faktor yang mempengaruhi kepatuhan wajib pajak dalam membayar pajak kendaraan bermotor di Denpasar</b:Title>
    <b:JournalName>E-jurnal Universitas Udayana</b:JournalName>
    <b:Year>2012</b:Year>
    <b:Author>
      <b:Author>
        <b:NameList>
          <b:Person>
            <b:Last>Putri</b:Last>
            <b:First>Amanda</b:First>
            <b:Middle>R , Siswanto dan Jati</b:Middle>
          </b:Person>
        </b:NameList>
      </b:Author>
    </b:Author>
    <b:RefOrder>4</b:RefOrder>
  </b:Source>
  <b:Source>
    <b:Tag>Has14</b:Tag>
    <b:SourceType>JournalArticle</b:SourceType>
    <b:Guid>{33B2C2B8-BB45-4CC1-AEBA-553B957D8494}</b:Guid>
    <b:Author>
      <b:Author>
        <b:NameList>
          <b:Person>
            <b:Last>Hasanuddin</b:Last>
          </b:Person>
        </b:NameList>
      </b:Author>
    </b:Author>
    <b:Title>Faktor-faktor yang mempengaruhi kepatuhan wajib pajak dalam membayar PBB dengan variabel moderating sikap wajib pajak atas sanksi denda</b:Title>
    <b:JournalName>Jurnal Akuntansi, Vol.5</b:JournalName>
    <b:Year>2014</b:Year>
    <b:Pages>3</b:Pages>
    <b:RefOrder>5</b:RefOrder>
  </b:Source>
  <b:Source>
    <b:Tag>Yul17</b:Tag>
    <b:SourceType>JournalArticle</b:SourceType>
    <b:Guid>{B7A327CC-E9E2-461C-B557-2C333ADDC69A}</b:Guid>
    <b:Title>Pengaruh pengetahuan dan kesadaran terhadap kepatuhan wajib pajak kendaraan bermotor dengan sanksi perpajakan sebagai variabel moderating studi pada kantor Samsat wilayah I</b:Title>
    <b:JournalName>Skripsi. Program Studi Akuntansi Stie Nobel Indonesia</b:JournalName>
    <b:Year>2017</b:Year>
    <b:Author>
      <b:Author>
        <b:NameList>
          <b:Person>
            <b:Last>Yulyani</b:Last>
            <b:First>Ulfa</b:First>
          </b:Person>
        </b:NameList>
      </b:Author>
    </b:Author>
    <b:RefOrder>6</b:RefOrder>
  </b:Source>
  <b:Source>
    <b:Tag>Raz13</b:Tag>
    <b:SourceType>JournalArticle</b:SourceType>
    <b:Guid>{29170DFF-74EF-41ED-8C35-BF6F985AD91E}</b:Guid>
    <b:Title>Evaluating taxpayer, atitude, and its influence on tax compliance decision in temale ghana</b:Title>
    <b:JournalName>Journal of Accounting and Taxation</b:JournalName>
    <b:Year>2013</b:Year>
    <b:Pages>48-57</b:Pages>
    <b:Author>
      <b:Author>
        <b:NameList>
          <b:Person>
            <b:Last>Razak</b:Last>
            <b:First>Abubakar</b:First>
            <b:Middle>Akbar dan Cristoper Jwayire Adafula</b:Middle>
          </b:Person>
        </b:NameList>
      </b:Author>
    </b:Author>
    <b:RefOrder>7</b:RefOrder>
  </b:Source>
  <b:Source>
    <b:Tag>Sus13</b:Tag>
    <b:SourceType>JournalArticle</b:SourceType>
    <b:Guid>{37E29E86-8E48-4DB0-A57B-D3EE7A167B5A}</b:Guid>
    <b:Title>Pengaruh Kesadaran Wajib Pajak, pengetahuan pajak, sanksi perpajakan dan akuntablitas pelayanan publik pada kepatuhan wajib pajak kendaraan bermotor</b:Title>
    <b:JournalName>E-jurnal Akuntansi Universitas Udayana 4.2</b:JournalName>
    <b:Year>2013</b:Year>
    <b:Pages>345-357</b:Pages>
    <b:Author>
      <b:Author>
        <b:NameList>
          <b:Person>
            <b:Last>Susilawati</b:Last>
            <b:First>Ketut</b:First>
            <b:Middle>Evi dan Ketut Budiartha</b:Middle>
          </b:Person>
        </b:NameList>
      </b:Author>
    </b:Author>
    <b:RefOrder>8</b:RefOrder>
  </b:Source>
  <b:Source>
    <b:Tag>Ama16</b:Tag>
    <b:SourceType>JournalArticle</b:SourceType>
    <b:Guid>{960464ED-EA4A-453B-9284-624A7AC654A9}</b:Guid>
    <b:Title>Pengaruh pengenaan sanksi administrasi dan kesadaran wajib pajak terhadap tingkat kepatuhan wajib pajak kendaraan bermotor</b:Title>
    <b:JournalName>Jurnal Administrasi Bisnis (JAB) Vol. 31 No. 1</b:JournalName>
    <b:Year>2016</b:Year>
    <b:Pages>35-40</b:Pages>
    <b:Author>
      <b:Author>
        <b:NameList>
          <b:Person>
            <b:Last>Rizki</b:Last>
            <b:First>Amalia</b:First>
            <b:Middle>, Topowijino dan Dwiatmanto</b:Middle>
          </b:Person>
        </b:NameList>
      </b:Author>
    </b:Author>
    <b:RefOrder>9</b:RefOrder>
  </b:Source>
  <b:Source>
    <b:Tag>Soe13</b:Tag>
    <b:SourceType>Book</b:SourceType>
    <b:Guid>{14821C4D-D3B3-4CCC-81F1-C5E14A26D289}</b:Guid>
    <b:Title>Asas dan dasar perpajakan</b:Title>
    <b:Year>2013</b:Year>
    <b:Author>
      <b:Author>
        <b:NameList>
          <b:Person>
            <b:Last>Soemitro</b:Last>
            <b:First>Rochmat</b:First>
          </b:Person>
        </b:NameList>
      </b:Author>
    </b:Author>
    <b:City>Bandung</b:City>
    <b:Publisher>Refika Aditama</b:Publisher>
    <b:RefOrder>10</b:RefOrder>
  </b:Source>
  <b:Source>
    <b:Tag>Mar161</b:Tag>
    <b:SourceType>Book</b:SourceType>
    <b:Guid>{F3DC244A-EC0C-484B-BCDE-76EC613D3FD2}</b:Guid>
    <b:Title>Perpajakan Indonesia</b:Title>
    <b:Year>2016</b:Year>
    <b:City>Jakarta</b:City>
    <b:Publisher>Gramedia pustaka Indonesia</b:Publisher>
    <b:Author>
      <b:Author>
        <b:NameList>
          <b:Person>
            <b:Last>Markus</b:Last>
            <b:First>Muda</b:First>
          </b:Person>
        </b:NameList>
      </b:Author>
    </b:Author>
    <b:RefOrder>11</b:RefOrder>
  </b:Source>
  <b:Source>
    <b:Tag>Wal13</b:Tag>
    <b:SourceType>Book</b:SourceType>
    <b:Guid>{3F09FBA5-8741-4906-8C36-FC37EF2A6E67}</b:Guid>
    <b:Author>
      <b:Author>
        <b:NameList>
          <b:Person>
            <b:Last>Waluyo</b:Last>
          </b:Person>
        </b:NameList>
      </b:Author>
    </b:Author>
    <b:Title>Perpajakan Indonesia</b:Title>
    <b:Year>2013</b:Year>
    <b:City>Jakarta</b:City>
    <b:Publisher>Salemba Empat</b:Publisher>
    <b:RefOrder>13</b:RefOrder>
  </b:Source>
  <b:Source>
    <b:Tag>Sum13</b:Tag>
    <b:SourceType>Book</b:SourceType>
    <b:Guid>{889704DF-270D-4806-A767-E5EF84D317B1}</b:Guid>
    <b:Title>Perpajakan Indonesia</b:Title>
    <b:Year>2013</b:Year>
    <b:City>Jakarta</b:City>
    <b:Publisher>Indeks</b:Publisher>
    <b:Author>
      <b:Author>
        <b:Corporate>Sumarsan, Thomas</b:Corporate>
      </b:Author>
    </b:Author>
    <b:RefOrder>14</b:RefOrder>
  </b:Source>
  <b:Source>
    <b:Tag>Zur12</b:Tag>
    <b:SourceType>Book</b:SourceType>
    <b:Guid>{EC1B9EB9-5241-4347-97C9-805DC7295755}</b:Guid>
    <b:Title>Teknik Penyesuaian Peraturan Daerah</b:Title>
    <b:Year>2012</b:Year>
    <b:City>Jakarta</b:City>
    <b:Publisher>Sinar Grafika</b:Publisher>
    <b:Author>
      <b:Author>
        <b:NameList>
          <b:Person>
            <b:Last>Zuraida</b:Last>
            <b:First>Ida</b:First>
          </b:Person>
        </b:NameList>
      </b:Author>
    </b:Author>
    <b:RefOrder>15</b:RefOrder>
  </b:Source>
  <b:Source>
    <b:Tag>Res13</b:Tag>
    <b:SourceType>Book</b:SourceType>
    <b:Guid>{8B990293-3FC0-413F-A12E-BC932D01E737}</b:Guid>
    <b:Title>Perpajakan Teori dan Kasus</b:Title>
    <b:Year>2013</b:Year>
    <b:City>Jakarta</b:City>
    <b:Publisher>Salemba Empat</b:Publisher>
    <b:Author>
      <b:Author>
        <b:NameList>
          <b:Person>
            <b:Last>Resmi</b:Last>
            <b:First>Sitti</b:First>
          </b:Person>
        </b:NameList>
      </b:Author>
    </b:Author>
    <b:RefOrder>16</b:RefOrder>
  </b:Source>
  <b:Source>
    <b:Tag>Rah17</b:Tag>
    <b:SourceType>JournalArticle</b:SourceType>
    <b:Guid>{B2BA0AD4-397D-4FA5-976F-01B3E72DC94F}</b:Guid>
    <b:Title>Pengaruh pengetahuan perpajakan, ketegasan sanksi pajak, dan Tax amnesty terhadap kepatuhan wajib pajak</b:Title>
    <b:Year>2017</b:Year>
    <b:JournalName>Jurnal Akuntansi Dewantara, Vol 1</b:JournalName>
    <b:Pages>15-30</b:Pages>
    <b:Author>
      <b:Author>
        <b:NameList>
          <b:Person>
            <b:Last>Rahayu</b:Last>
            <b:First>Nurulita</b:First>
          </b:Person>
        </b:NameList>
      </b:Author>
    </b:Author>
    <b:RefOrder>17</b:RefOrder>
  </b:Source>
  <b:Source xmlns:b="http://schemas.openxmlformats.org/officeDocument/2006/bibliography">
    <b:Tag>Mar162</b:Tag>
    <b:SourceType>Book</b:SourceType>
    <b:Guid>{1EF1B958-23D0-4B0C-8EB8-33E0393E6AAC}</b:Guid>
    <b:Author>
      <b:Author>
        <b:Corporate>Mardiasmo</b:Corporate>
      </b:Author>
    </b:Author>
    <b:Title>Perpajakan. Edisi terbaru</b:Title>
    <b:Year>2016</b:Year>
    <b:City>Yogyakarta</b:City>
    <b:Publisher>Andi Offset</b:Publisher>
    <b:RefOrder>12</b:RefOrder>
  </b:Source>
  <b:Source>
    <b:Tag>Ama12</b:Tag>
    <b:SourceType>JournalArticle</b:SourceType>
    <b:Guid>{F74EDE38-E522-4CB2-A964-208AC9222EB8}</b:Guid>
    <b:Title>Pengaruh Pemeriksaan pajak, kesadaran pajak, penerapan self asessment system,dan sanksi administrasi terhadap kepatuhan wajib pajak kendaraan bermotor</b:Title>
    <b:JournalName>E-Jurnal Upas Bandung</b:JournalName>
    <b:Year>2017</b:Year>
    <b:Author>
      <b:Author>
        <b:NameList>
          <b:Person>
            <b:Last>Amaliah</b:Last>
            <b:First>Dwi Utami</b:First>
          </b:Person>
        </b:NameList>
      </b:Author>
    </b:Author>
    <b:RefOrder>18</b:RefOrder>
  </b:Source>
  <b:Source>
    <b:Tag>Kun05</b:Tag>
    <b:SourceType>Book</b:SourceType>
    <b:Guid>{F19BE245-7A66-48E1-BB67-F3E41E836249}</b:Guid>
    <b:Author>
      <b:Author>
        <b:NameList>
          <b:Person>
            <b:Last>Küng</b:Last>
            <b:First>Hans</b:First>
          </b:Person>
        </b:NameList>
      </b:Author>
      <b:Translator>
        <b:NameList>
          <b:Person>
            <b:Last>Bowden</b:Last>
            <b:First>John</b:First>
          </b:Person>
        </b:NameList>
      </b:Translator>
    </b:Author>
    <b:Title>Women in Christianity</b:Title>
    <b:Year>2005</b:Year>
    <b:City>New York</b:City>
    <b:Publisher>Continuum</b:Publisher>
    <b:RefOrder>1</b:RefOrder>
  </b:Source>
  <b:Source>
    <b:Tag>Obi19</b:Tag>
    <b:SourceType>BookSection</b:SourceType>
    <b:Guid>{46E0A3AB-DFE3-476E-8942-0AB8AF41B389}</b:Guid>
    <b:Title>Theories of Gender</b:Title>
    <b:Year>2018</b:Year>
    <b:Pages>1-12</b:Pages>
    <b:BookTitle>Contemporary Gende Issues</b:BookTitle>
    <b:City>Onitsha</b:City>
    <b:Publisher>Abbot Com</b:Publisher>
    <b:Author>
      <b:Author>
        <b:NameList>
          <b:Person>
            <b:Last>Obi</b:Last>
            <b:Middle>Anthony</b:Middle>
            <b:First>Emeka</b:First>
          </b:Person>
        </b:NameList>
      </b:Author>
      <b:Editor>
        <b:NameList>
          <b:Person>
            <b:Last>Obi</b:Last>
            <b:First>Emeka</b:First>
          </b:Person>
          <b:Person>
            <b:Last>Obiora</b:Last>
            <b:First>Charles</b:First>
          </b:Person>
          <b:Person>
            <b:Last>Ebisi</b:Last>
            <b:First>Njideka</b:First>
          </b:Person>
          <b:Person>
            <b:Last>Ezeabasili</b:Last>
            <b:First>Ifeoma</b:First>
          </b:Person>
        </b:NameList>
      </b:Editor>
    </b:Author>
    <b:RefOrder>2</b:RefOrder>
  </b:Source>
  <b:Source>
    <b:Tag>McC811</b:Tag>
    <b:SourceType>BookSection</b:SourceType>
    <b:Guid>{04F051A9-506A-4CBA-92DB-E49A5A6B3193}</b:Guid>
    <b:Author>
      <b:Author>
        <b:NameList>
          <b:Person>
            <b:Last>McClintock</b:Last>
            <b:First>John</b:First>
          </b:Person>
        </b:NameList>
      </b:Author>
      <b:BookAuthor>
        <b:NameList>
          <b:Person>
            <b:Last>McClintock</b:Last>
            <b:First>John</b:First>
          </b:Person>
          <b:Person>
            <b:Last>Strong</b:Last>
            <b:First>James</b:First>
          </b:Person>
        </b:NameList>
      </b:BookAuthor>
    </b:Author>
    <b:Title>Deborah</b:Title>
    <b:BookTitle>Cyclopedia of Biblical, Theological &amp; Ecclesiastical Literature </b:BookTitle>
    <b:Year>1981</b:Year>
    <b:Pages>CD-Rom</b:Pages>
    <b:City>Grand Rapids</b:City>
    <b:Publisher>Baker House Co.</b:Publisher>
    <b:RefOrder>3</b:RefOrder>
  </b:Source>
  <b:Source>
    <b:Tag>Sea10</b:Tag>
    <b:SourceType>BookSection</b:SourceType>
    <b:Guid>{D6657609-7CF5-4F9D-86A7-D08D3F8672AE}</b:Guid>
    <b:Author>
      <b:Author>
        <b:NameList>
          <b:Person>
            <b:Last>Seale</b:Last>
            <b:First>Morris</b:First>
          </b:Person>
        </b:NameList>
      </b:Author>
      <b:Editor>
        <b:NameList>
          <b:Person>
            <b:Last>Bromiley</b:Last>
            <b:First>Geoffrey</b:First>
            <b:Middle>W</b:Middle>
          </b:Person>
        </b:NameList>
      </b:Editor>
    </b:Author>
    <b:Title>Deborah</b:Title>
    <b:Year>1979</b:Year>
    <b:BookTitle>International Standard Bible Encyclopedia - Revised Edition V5.0.1.</b:BookTitle>
    <b:Pages>CD-Rom</b:Pages>
    <b:City>Grand Rapids</b:City>
    <b:Publisher>W. B. Eerdmans Publishing Co.</b:Publisher>
    <b:RefOrder>4</b:RefOrder>
  </b:Source>
  <b:Source>
    <b:Tag>Utt14</b:Tag>
    <b:SourceType>DocumentFromInternetSite</b:SourceType>
    <b:Guid>{4D5EA9E2-1939-491C-971F-D6D1E2AAE631}</b:Guid>
    <b:Author>
      <b:Author>
        <b:NameList>
          <b:Person>
            <b:Last>Uittenbogaard</b:Last>
            <b:First>Arie</b:First>
          </b:Person>
        </b:NameList>
      </b:Author>
    </b:Author>
    <b:Title>Deborah Etymology</b:Title>
    <b:InternetSiteTitle>Abarim Publication</b:InternetSiteTitle>
    <b:YearAccessed>2014</b:YearAccessed>
    <b:MonthAccessed>December</b:MonthAccessed>
    <b:DayAccessed>11</b:DayAccessed>
    <b:URL>http://www.abarim-publications.com/meaning/deborah.html.</b:URL>
    <b:Year>2014</b:Year>
    <b:RefOrder>5</b:RefOrder>
  </b:Source>
  <b:Source>
    <b:Tag>You64</b:Tag>
    <b:SourceType>Book</b:SourceType>
    <b:Guid>{2D13F6B2-FAE6-4170-B90C-C0A5FCA23059}</b:Guid>
    <b:Author>
      <b:Author>
        <b:NameList>
          <b:Person>
            <b:Last>Young</b:Last>
            <b:First>Edward</b:First>
            <b:Middle>J</b:Middle>
          </b:Person>
        </b:NameList>
      </b:Author>
    </b:Author>
    <b:Title>An Introdiction to the Old Testament</b:Title>
    <b:Year>1964</b:Year>
    <b:City>London</b:City>
    <b:Publisher>The Tyndale Press</b:Publisher>
    <b:RefOrder>6</b:RefOrder>
  </b:Source>
  <b:Source>
    <b:Tag>Edw79</b:Tag>
    <b:SourceType>BookSection</b:SourceType>
    <b:Guid>{AC3773AB-85FF-4A04-B71E-D0A77274979D}</b:Guid>
    <b:Author>
      <b:Author>
        <b:NameList>
          <b:Person>
            <b:Last>Edwards</b:Last>
            <b:First>R.</b:First>
            <b:Middle>B.</b:Middle>
          </b:Person>
        </b:NameList>
      </b:Author>
      <b:Editor>
        <b:NameList>
          <b:Person>
            <b:Last>Bromiley</b:Last>
            <b:First>G.</b:First>
            <b:Middle>W.</b:Middle>
          </b:Person>
        </b:NameList>
      </b:Editor>
    </b:Author>
    <b:Title>Women</b:Title>
    <b:Year>1979</b:Year>
    <b:BookTitle>International Standard Bible Encyclopedia</b:BookTitle>
    <b:Pages>CD-Rom</b:Pages>
    <b:City>Grand Rapids</b:City>
    <b:Publisher>Wm. B. Eerdmans Publishing Co.</b:Publisher>
    <b:RefOrder>7</b:RefOrder>
  </b:Source>
  <b:Source>
    <b:Tag>Mot92</b:Tag>
    <b:SourceType>Book</b:SourceType>
    <b:Guid>{15DCB033-15AA-4428-9FE1-A0F16FA840BE}</b:Guid>
    <b:Author>
      <b:Author>
        <b:NameList>
          <b:Person>
            <b:Last>Motyer</b:Last>
            <b:First>J.</b:First>
            <b:Middle>A.</b:Middle>
          </b:Person>
        </b:NameList>
      </b:Author>
    </b:Author>
    <b:Title>The Message of Judges - Grace Abounding</b:Title>
    <b:Year>1992</b:Year>
    <b:City>Leicester</b:City>
    <b:Publisher>IVP</b:Publisher>
    <b:RefOrder>8</b:RefOrder>
  </b:Source>
  <b:Source>
    <b:Tag>And</b:Tag>
    <b:SourceType>Book</b:SourceType>
    <b:Guid>{7E7AAA47-DCCB-48BC-BA0E-C0D405B8738C}</b:Guid>
    <b:Author>
      <b:Author>
        <b:NameList>
          <b:Person>
            <b:Last>Anderson</b:Last>
            <b:First>George</b:First>
            <b:Middle>W.</b:Middle>
          </b:Person>
        </b:NameList>
      </b:Author>
    </b:Author>
    <b:Title>A Critical Introduction to the Old Testament</b:Title>
    <b:City>London</b:City>
    <b:Publisher>Gerald Duckworth</b:Publisher>
    <b:Year>1959</b:Year>
    <b:RefOrder>9</b:RefOrder>
  </b:Source>
  <b:Source>
    <b:Tag>Eka</b:Tag>
    <b:SourceType>Book</b:SourceType>
    <b:Guid>{FB2A5326-419E-4A7D-B1D8-E1275D345711}</b:Guid>
    <b:Author>
      <b:Author>
        <b:NameList>
          <b:Person>
            <b:Last>Ekanem</b:Last>
            <b:First>Gail</b:First>
          </b:Person>
        </b:NameList>
      </b:Author>
    </b:Author>
    <b:Title>Bible Women - God's Word Speaks today on Issues facing Women in Africa</b:Title>
    <b:Year>2013</b:Year>
    <b:City>Bukuru</b:City>
    <b:Publisher>African Christian Textbooks</b:Publisher>
    <b:RefOrder>10</b:RefOrder>
  </b:Source>
  <b:Source>
    <b:Tag>Fen79</b:Tag>
    <b:SourceType>BookSection</b:SourceType>
    <b:Guid>{BE53E556-F768-4503-83F8-94117BE92A73}</b:Guid>
    <b:Author>
      <b:Author>
        <b:NameList>
          <b:Person>
            <b:Last>Fensham</b:Last>
            <b:First>F.</b:First>
            <b:Middle>C.</b:Middle>
          </b:Person>
        </b:NameList>
      </b:Author>
      <b:Editor>
        <b:NameList>
          <b:Person>
            <b:Last>Bromiley</b:Last>
            <b:First>G.</b:First>
            <b:Middle>W.</b:Middle>
          </b:Person>
        </b:NameList>
      </b:Editor>
    </b:Author>
    <b:Title>The Book of Judges</b:Title>
    <b:Year>1979</b:Year>
    <b:City>Grand Rapids</b:City>
    <b:Publisher>Wm. B. Eerdmans Publishing Co.</b:Publisher>
    <b:BookTitle>The International Standard Bible Encyclopedia</b:BookTitle>
    <b:Pages>CD-Rom</b:Pages>
    <b:RefOrder>11</b:RefOrder>
  </b:Source>
  <b:Source>
    <b:Tag>Ben00</b:Tag>
    <b:SourceType>Book</b:SourceType>
    <b:Guid>{8C5FD51D-F1A2-4B12-AE84-AF1A47B5795D}</b:Guid>
    <b:Author>
      <b:Author>
        <b:NameList>
          <b:Person>
            <b:Last>Benge</b:Last>
            <b:First>Janet</b:First>
            <b:Middle>&amp; Geoff</b:Middle>
          </b:Person>
        </b:NameList>
      </b:Author>
    </b:Author>
    <b:Title>Christian Heroes: Now &amp; Then Mary Slessor Forward into Calabar</b:Title>
    <b:Year>2000</b:Year>
    <b:City>Seattle</b:City>
    <b:Publisher>YWAM Publishing</b:Publisher>
    <b:RefOrder>12</b:RefOrder>
  </b:Source>
  <b:Source>
    <b:Tag>Lin14</b:Tag>
    <b:SourceType>InternetSite</b:SourceType>
    <b:Guid>{51DA3659-EF03-45D8-AB07-1888CE20A226}</b:Guid>
    <b:Author>
      <b:Author>
        <b:NameList>
          <b:Person>
            <b:Last>Livingstone</b:Last>
            <b:First>W.</b:First>
            <b:Middle>P.</b:Middle>
          </b:Person>
        </b:NameList>
      </b:Author>
    </b:Author>
    <b:Title>Mary Slessor of Calabar: Pioneer Missionary</b:Title>
    <b:InternetSiteTitle>WholesomeWords</b:InternetSiteTitle>
    <b:YearAccessed>2014</b:YearAccessed>
    <b:MonthAccessed>December</b:MonthAccessed>
    <b:DayAccessed>15</b:DayAccessed>
    <b:URL>www.wholesomewords.maryslessor.org</b:URL>
    <b:RefOrder>13</b:RefOrder>
  </b:Source>
  <b:Source>
    <b:Tag>Obi13</b:Tag>
    <b:SourceType>Book</b:SourceType>
    <b:Guid>{983836FA-DD3A-410D-8DA4-85DC15B00824}</b:Guid>
    <b:Author>
      <b:Author>
        <b:NameList>
          <b:Person>
            <b:Last>Obinna</b:Last>
            <b:First>Elijah</b:First>
          </b:Person>
        </b:NameList>
      </b:Author>
    </b:Author>
    <b:Title>Scottish Missionaries in Nigeria - Foundation, Transformation and Development Among the Amasiri (1927-1944)</b:Title>
    <b:Year>2013</b:Year>
    <b:City>Lampeter</b:City>
    <b:Publisher>The Edwin Mellen Press Ltd.</b:Publisher>
    <b:RefOrder>14</b:RefOrder>
  </b:Source>
  <b:Source>
    <b:Tag>Fub04</b:Tag>
    <b:SourceType>Book</b:SourceType>
    <b:Guid>{727516DD-BFBD-46A5-A34F-AE745847D3AB}</b:Guid>
    <b:Author>
      <b:Author>
        <b:NameList>
          <b:Person>
            <b:Last>Fubara-Manuel</b:Last>
            <b:First>B.</b:First>
            <b:Middle>F.</b:Middle>
          </b:Person>
        </b:NameList>
      </b:Author>
    </b:Author>
    <b:Title>In the Missio Dei - Reflecting on the Being and Calling of the Church in the Sovereign Mission of God</b:Title>
    <b:Year>2004</b:Year>
    <b:City>Calabar</b:City>
    <b:Publisher>Presby Press</b:Publisher>
    <b:RefOrder>15</b:RefOrder>
  </b:Source>
  <b:Source>
    <b:Tag>Mou12</b:Tag>
    <b:SourceType>BookSection</b:SourceType>
    <b:Guid>{82F9CC4E-6B3C-4D2B-9AD1-C9C63DE8E540}</b:Guid>
    <b:Author>
      <b:Author>
        <b:NameList>
          <b:Person>
            <b:Last>Mouton</b:Last>
            <b:First>Elna</b:First>
          </b:Person>
        </b:NameList>
      </b:Author>
      <b:Editor>
        <b:NameList>
          <b:Person>
            <b:Last>Hendriks et.al.</b:Last>
            <b:First>H</b:First>
            <b:Middle>Jurgens</b:Middle>
          </b:Person>
        </b:NameList>
      </b:Editor>
    </b:Author>
    <b:Title>Reading a Pastoral 'text of terror' in Africa today? 1Timothy 2:8-15 as a context-specific appropriation of the creation story.</b:Title>
    <b:BookTitle>Men in the Pulpit, Women in the Pew? Addressing Gender Inequality in Africa</b:BookTitle>
    <b:Year>2012</b:Year>
    <b:Pages>115-128</b:Pages>
    <b:City>Stellenbosch</b:City>
    <b:Publisher>SUN MeDIA</b:Publisher>
    <b:RefOrder>16</b:RefOrder>
  </b:Source>
  <b:Source>
    <b:Tag>Und</b:Tag>
    <b:SourceType>Book</b:SourceType>
    <b:Guid>{95C06749-2D96-48A6-9298-9C3D103DE060}</b:Guid>
    <b:Author>
      <b:Author>
        <b:Corporate>Undang-Undang Nomor 20 Tahun 2003</b:Corporate>
      </b:Author>
    </b:Author>
    <b:Title>Tentang Sistem Pendidikan Nasional</b:Title>
    <b:City>Surabaya</b:City>
    <b:Publisher>Terbit Terang</b:Publisher>
    <b:RefOrder>1</b:RefOrder>
  </b:Source>
  <b:Source>
    <b:Tag>Set15</b:Tag>
    <b:SourceType>JournalArticle</b:SourceType>
    <b:Guid>{E8DAA023-8905-4A58-A894-4BFFFD7C30F8}</b:Guid>
    <b:Title>PENGARUH POLA ASUH TERHADAP KEDISIPLINAN BELAJAR SISWA</b:Title>
    <b:JournalName>Journal of Elementary Education 4</b:JournalName>
    <b:Year>2015 </b:Year>
    <b:Pages>61-67</b:Pages>
    <b:Author>
      <b:Author>
        <b:NameList>
          <b:Person>
            <b:Last>Setiawati</b:Last>
            <b:First>Eka</b:First>
          </b:Person>
        </b:NameList>
      </b:Author>
    </b:Author>
    <b:RefOrder>2</b:RefOrder>
  </b:Source>
  <b:Source>
    <b:Tag>Ber18</b:Tag>
    <b:SourceType>JournalArticle</b:SourceType>
    <b:Guid>{B0D8FC16-1CC2-4076-BB1C-6ACCAE258479}</b:Guid>
    <b:Title>Pengaruh Pola Asuh Orang Tua, Budaya Sekolah dan Motivasi Belajar Terhadap Disiplin Belajar Siswa SMP Di Lingkungan YPPK Distrik Merauke</b:Title>
    <b:Year>April 2018</b:Year>
    <b:JournalName>JURNAL JUMPA </b:JournalName>
    <b:Pages>Vol. VI, No. 1</b:Pages>
    <b:Author>
      <b:Author>
        <b:NameList>
          <b:Person>
            <b:Last>Berangka</b:Last>
            <b:First>Dedimus</b:First>
          </b:Person>
        </b:NameList>
      </b:Author>
    </b:Author>
    <b:RefOrder>3</b:RefOrder>
  </b:Source>
  <b:Source>
    <b:Tag>Han21</b:Tag>
    <b:SourceType>JournalArticle</b:SourceType>
    <b:Guid>{079F9671-B2EA-46D6-A0BE-964F2B139389}</b:Guid>
    <b:Title>Pengaruh Disiplin Belajar terhadap Hasil Belajar Bahasa Indonesia di Sekolah Dasar</b:Title>
    <b:Year>2021</b:Year>
    <b:JournalName>JURNAL BASICEDU</b:JournalName>
    <b:Pages>Vol. 5 Hal 151-164</b:Pages>
    <b:Author>
      <b:Author>
        <b:NameList>
          <b:Person>
            <b:Last>Handayani</b:Last>
            <b:Middle>Selvi</b:Middle>
            <b:First>Eka</b:First>
          </b:Person>
          <b:Person>
            <b:Last>Subakti</b:Last>
            <b:First>Hani</b:First>
          </b:Person>
        </b:NameList>
      </b:Author>
    </b:Author>
    <b:RefOrder>4</b:RefOrder>
  </b:Source>
  <b:Source>
    <b:Tag>Sar17</b:Tag>
    <b:SourceType>JournalArticle</b:SourceType>
    <b:Guid>{B6007018-C1E2-445E-A15C-82712EC247C5}</b:Guid>
    <b:Title>Meningkatkan Disiplin Belajar Siswa Melalui Manajemen Kelas</b:Title>
    <b:JournalName>Jurnal Pendidikan Manajemen Perkantoran</b:JournalName>
    <b:Year>Juli 2017</b:Year>
    <b:Pages>Vol. 2, No. 2, Hal 233-241</b:Pages>
    <b:Author>
      <b:Author>
        <b:NameList>
          <b:Person>
            <b:Last>Sari</b:Last>
            <b:Middle>Puspita</b:Middle>
            <b:First>Bella</b:First>
          </b:Person>
          <b:Person>
            <b:Last>Hadijah</b:Last>
            <b:Middle>Siti</b:Middle>
            <b:First>Hady</b:First>
          </b:Person>
        </b:NameList>
      </b:Author>
    </b:Author>
    <b:RefOrder>5</b:RefOrder>
  </b:Source>
  <b:Source>
    <b:Tag>Mas20</b:Tag>
    <b:SourceType>Book</b:SourceType>
    <b:Guid>{54B118B5-ADC7-4DEE-A037-0AC53AB37A6F}</b:Guid>
    <b:Title>Pengaruh Pola Asuh Orang Tua Terhadap Disiplin Belajar Peserta Didik Kelas X MAN 2 Parepare</b:Title>
    <b:Year>2020</b:Year>
    <b:City>Skripsi Program Sarjana. Parepare</b:City>
    <b:Publisher>Fakultas Tarbiyah Institut Agama Islam Negeri (IAIN) Parepare</b:Publisher>
    <b:Author>
      <b:Author>
        <b:NameList>
          <b:Person>
            <b:Last>Masnih</b:Last>
          </b:Person>
        </b:NameList>
      </b:Author>
    </b:Author>
    <b:RefOrder>6</b:RefOrder>
  </b:Source>
  <b:Source>
    <b:Tag>Mus15</b:Tag>
    <b:SourceType>JournalArticle</b:SourceType>
    <b:Guid>{347063A8-80F8-468C-B95A-BEAB46487BEF}</b:Guid>
    <b:Author>
      <b:Author>
        <b:NameList>
          <b:Person>
            <b:Last>Muslima</b:Last>
          </b:Person>
        </b:NameList>
      </b:Author>
    </b:Author>
    <b:Title>POLA ASUH ORANG TUA TERHADAP KECERDASAN FINANSIAL ANAK</b:Title>
    <b:JournalName>Internasional Journal of Child and Gender Studies</b:JournalName>
    <b:Year>2015</b:Year>
    <b:Pages>Vol. 1, No. 1, Hal. 85-98</b:Pages>
    <b:RefOrder>7</b:RefOrder>
  </b:Source>
  <b:Source>
    <b:Tag>Sut19</b:Tag>
    <b:SourceType>Book</b:SourceType>
    <b:Guid>{5B742175-4098-445F-B29F-E69B194556D2}</b:Guid>
    <b:Title>Positive Parenting Membangun Karakter Positif Anak</b:Title>
    <b:Year>2019</b:Year>
    <b:City>Yogyakarta</b:City>
    <b:Publisher>PUSTAKA BARU PRESS</b:Publisher>
    <b:Author>
      <b:Author>
        <b:NameList>
          <b:Person>
            <b:Last>Sutanto</b:Last>
            <b:Middle>Vita</b:Middle>
            <b:First>Andina</b:First>
          </b:Person>
          <b:Person>
            <b:Last>Andriani</b:Last>
            <b:First>Ari</b:First>
          </b:Person>
        </b:NameList>
      </b:Author>
    </b:Author>
    <b:RefOrder>8</b:RefOrder>
  </b:Source>
  <b:Source>
    <b:Tag>Las16</b:Tag>
    <b:SourceType>JournalArticle</b:SourceType>
    <b:Guid>{1DA01906-45E9-48AE-BEB2-7EA9E087BE09}</b:Guid>
    <b:Title>HUBUNGAN ANTARA MOTIVASI BELAJAR DENGAN DISIPLIN BELAJAR</b:Title>
    <b:JournalName>Jurnal Warta Edisi : 48</b:JournalName>
    <b:Year>April 2016</b:Year>
    <b:Author>
      <b:Author>
        <b:NameList>
          <b:Person>
            <b:Last>Lase</b:Last>
            <b:First>Asali</b:First>
          </b:Person>
        </b:NameList>
      </b:Author>
    </b:Author>
    <b:RefOrder>9</b:RefOrder>
  </b:Source>
  <b:Source>
    <b:Tag>Lom18</b:Tag>
    <b:SourceType>JournalArticle</b:SourceType>
    <b:Guid>{F60F7C4C-37C7-49E8-8F64-9DCB4EB2BC18}</b:Guid>
    <b:Title>Pengaruh Motivasi Belajar dan Disiplin Belajar terhadap Prestasi Belajar Matematika Siswa</b:Title>
    <b:JournalName>Prosiding Seminar Nasional Etnomatnesia </b:JournalName>
    <b:Year>2018</b:Year>
    <b:Pages>745-751</b:Pages>
    <b:Author>
      <b:Author>
        <b:NameList>
          <b:Person>
            <b:Last>Lomu</b:Last>
            <b:First>Lidia</b:First>
          </b:Person>
          <b:Person>
            <b:Last>Widodo</b:Last>
            <b:Middle>Adi</b:Middle>
            <b:First>Sri</b:First>
          </b:Person>
        </b:NameList>
      </b:Author>
    </b:Author>
    <b:RefOrder>10</b:RefOrder>
  </b:Source>
  <b:Source>
    <b:Tag>Rah21</b:Tag>
    <b:SourceType>JournalArticle</b:SourceType>
    <b:Guid>{E0A0980A-2341-4F2B-A4AA-246E42BF7989}</b:Guid>
    <b:Title>PENGARUH POLA ASUH ORANG TUA TERHADAP DISIPLIN BELAJAR SISWA SEKOLAH DASAR NEGERI SUKAHATI 01</b:Title>
    <b:JournalName>Jurnal Pendidikan dan Pengajaran Guru Sekolah Dasar (JPPGuseda)</b:JournalName>
    <b:Year>Juli 2021</b:Year>
    <b:Pages>Vol. 04, No. 02, Hal. 174-177</b:Pages>
    <b:Author>
      <b:Author>
        <b:NameList>
          <b:Person>
            <b:Last>Rahayu</b:Last>
            <b:Middle>Puji</b:Middle>
            <b:First>Sri</b:First>
          </b:Person>
          <b:Person>
            <b:Last>Muhajang</b:Last>
            <b:First>Tatang</b:First>
          </b:Person>
        </b:NameList>
      </b:Author>
    </b:Author>
    <b:RefOrder>11</b:RefOrder>
  </b:Source>
  <b:Source>
    <b:Tag>Yan17</b:Tag>
    <b:SourceType>Book</b:SourceType>
    <b:Guid>{9B0D2275-1925-46B0-8D24-AD81C45E6083}</b:Guid>
    <b:Title>Pengaruh Pola Asuh Orang Tua Terhadap Kedisiplinan Belajar Siswa di SMP Negeri 2 Muaro Jambi</b:Title>
    <b:Year>2017</b:Year>
    <b:City>Skripsi Program Sarjana. Jambi</b:City>
    <b:Publisher>Fakultas Keguruan dan Ilmu Pendidikan Program Studi Bimbingan dan Konseling Universitas Jambi</b:Publisher>
    <b:Author>
      <b:Author>
        <b:NameList>
          <b:Person>
            <b:Last>Yana</b:Last>
            <b:Middle>Fitri</b:Middle>
            <b:First>Kiki</b:First>
          </b:Person>
        </b:NameList>
      </b:Author>
    </b:Author>
    <b:RefOrder>12</b:RefOrder>
  </b:Source>
  <b:Source>
    <b:Tag>sur06</b:Tag>
    <b:SourceType>JournalArticle</b:SourceType>
    <b:Guid>{A5317C0D-C9D6-4568-A072-F28A2EB0D375}</b:Guid>
    <b:Author>
      <b:Author>
        <b:NameList>
          <b:Person>
            <b:Last>surtiani</b:Last>
          </b:Person>
        </b:NameList>
      </b:Author>
    </b:Author>
    <b:Title>Faktor-faktor yang mempengaruhi terciptanya kawasan permukiman kumuh di kawasan pusat kota</b:Title>
    <b:Year>2006</b:Year>
    <b:RefOrder>6</b:RefOrder>
  </b:Source>
  <b:Source>
    <b:Tag>Sur06</b:Tag>
    <b:SourceType>JournalArticle</b:SourceType>
    <b:Guid>{A168963A-BE07-4E39-90DF-7DE2B7A5CA49}</b:Guid>
    <b:Author>
      <b:Author>
        <b:NameList>
          <b:Person>
            <b:Last>Surtiani</b:Last>
            <b:First>E.</b:First>
            <b:Middle>E.</b:Middle>
          </b:Person>
        </b:NameList>
      </b:Author>
    </b:Author>
    <b:Title>Faktor-faktor yang mempengaruhi tersiptanya kawasan permukiman kumuh di kawasan pusat kota </b:Title>
    <b:Year>2006</b:Year>
    <b:RefOrder>7</b:RefOrder>
  </b:Source>
  <b:Source>
    <b:Tag>Dar18</b:Tag>
    <b:SourceType>JournalArticle</b:SourceType>
    <b:Guid>{03D4F0AF-CF24-425E-8868-104EF432A3E1}</b:Guid>
    <b:Author>
      <b:Author>
        <b:NameList>
          <b:Person>
            <b:Last>Darmawan</b:Last>
            <b:First>Soni</b:First>
          </b:Person>
          <b:Person>
            <b:Last>Utami</b:Last>
            <b:First>Tin</b:First>
            <b:Middle>Budi</b:Middle>
          </b:Person>
        </b:NameList>
      </b:Author>
    </b:Author>
    <b:Title>POLA PEMANFAATAN RUANG TERBUKA PADA PEMUKIMAN KAMPUNG KOTA</b:Title>
    <b:JournalName>Jurnal Arsitektur, Bangunan dan Lingkungan</b:JournalName>
    <b:Year>2018</b:Year>
    <b:Pages>127-136</b:Pages>
    <b:RefOrder>1</b:RefOrder>
  </b:Source>
  <b:Source>
    <b:Tag>Dah19</b:Tag>
    <b:SourceType>JournalArticle</b:SourceType>
    <b:Guid>{BF0057E2-33E4-4B84-84D9-B573D93D4CB5}</b:Guid>
    <b:Title>Studi Awal Pemanfaatan Kanal Jongaya dan Panampu Sebagai Transportasi Air di Kota Makassar</b:Title>
    <b:JournalName>Pena Teknik</b:JournalName>
    <b:Year>2019</b:Year>
    <b:Pages>122-134</b:Pages>
    <b:Author>
      <b:Author>
        <b:NameList>
          <b:Person>
            <b:Last>Dahlan</b:Last>
            <b:First>Ahmad </b:First>
          </b:Person>
          <b:Person>
            <b:Last>Trisutomo</b:Last>
            <b:First>Slamet</b:First>
          </b:Person>
        </b:NameList>
      </b:Author>
    </b:Author>
    <b:RefOrder>2</b:RefOrder>
  </b:Source>
  <b:Source>
    <b:Tag>Lan87</b:Tag>
    <b:SourceType>Book</b:SourceType>
    <b:Guid>{E137DE70-92D7-4D0D-9FEA-FF07209D1A1E}</b:Guid>
    <b:Title>Creating Architectural Theory, The Role  of   The  Behavioral  Sciences  in Environmental Design</b:Title>
    <b:Year>1987</b:Year>
    <b:City>New York</b:City>
    <b:Publisher>Van Nostrand Reinhold Company Inc</b:Publisher>
    <b:Author>
      <b:Author>
        <b:NameList>
          <b:Person>
            <b:Last>Lang</b:Last>
            <b:First>John</b:First>
          </b:Person>
        </b:NameList>
      </b:Author>
    </b:Author>
    <b:RefOrder>3</b:RefOrder>
  </b:Source>
  <b:Source>
    <b:Tag>Amo69</b:Tag>
    <b:SourceType>Book</b:SourceType>
    <b:Guid>{66632BBB-72A1-4D67-B976-EAEBC13E3064}</b:Guid>
    <b:Title>Human Aspect Urban Form</b:Title>
    <b:Year>1982</b:Year>
    <b:City>New York</b:City>
    <b:Publisher>Nostrand Reinhold Company Inc</b:Publisher>
    <b:Author>
      <b:Author>
        <b:NameList>
          <b:Person>
            <b:Last>Rapoport</b:Last>
            <b:First>Amos</b:First>
          </b:Person>
        </b:NameList>
      </b:Author>
    </b:Author>
    <b:RefOrder>4</b:RefOrder>
  </b:Source>
  <b:Source>
    <b:Tag>Nar15</b:Tag>
    <b:SourceType>Book</b:SourceType>
    <b:Guid>{335DAE15-A527-4DC0-A0DE-C36E1AA1F802}</b:Guid>
    <b:Title>Metodelogi Penelitian</b:Title>
    <b:Year>2015</b:Year>
    <b:City>Jakarta</b:City>
    <b:Publisher>Bumi Aksara</b:Publisher>
    <b:Author>
      <b:Author>
        <b:NameList>
          <b:Person>
            <b:Last>Narbuko</b:Last>
            <b:First>Cholid</b:First>
          </b:Person>
          <b:Person>
            <b:Last>Achmadi</b:Last>
            <b:First>Abu</b:First>
          </b:Person>
        </b:NameList>
      </b:Author>
    </b:Author>
    <b:RefOrder>5</b:RefOrder>
  </b:Source>
  <b:Source>
    <b:Tag>Lyn60</b:Tag>
    <b:SourceType>Book</b:SourceType>
    <b:Guid>{6F748FC1-20A7-4D5F-B8F8-0E3A701A2671}</b:Guid>
    <b:Title>The Image of The City</b:Title>
    <b:Year>1960</b:Year>
    <b:City>Cambridge</b:City>
    <b:Publisher>MIT Press</b:Publisher>
    <b:Author>
      <b:Author>
        <b:NameList>
          <b:Person>
            <b:Last>Lynch</b:Last>
            <b:First>Kevin</b:First>
          </b:Person>
        </b:NameList>
      </b:Author>
    </b:Author>
    <b:RefOrder>8</b:RefOrder>
  </b:Source>
  <b:Source>
    <b:Tag>OJK201</b:Tag>
    <b:SourceType>Report</b:SourceType>
    <b:Guid>{AFC39455-640E-4F94-917A-270696FCDFC9}</b:Guid>
    <b:Title>Statistik IKNB Syariah Periode November 2020</b:Title>
    <b:Year>2020</b:Year>
    <b:Author>
      <b:Author>
        <b:Corporate>OJK</b:Corporate>
      </b:Author>
    </b:Author>
    <b:Publisher>OJK</b:Publisher>
    <b:City>Jakarta</b:City>
    <b:RefOrder>7</b:RefOrder>
  </b:Source>
</b:Sources>
</file>

<file path=customXml/itemProps1.xml><?xml version="1.0" encoding="utf-8"?>
<ds:datastoreItem xmlns:ds="http://schemas.openxmlformats.org/officeDocument/2006/customXml" ds:itemID="{748DA467-CF95-4341-A81C-9FBF61DF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8341</Words>
  <Characters>47547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55777</CharactersWithSpaces>
  <SharedDoc>false</SharedDoc>
  <HLinks>
    <vt:vector size="6" baseType="variant">
      <vt:variant>
        <vt:i4>6029330</vt:i4>
      </vt:variant>
      <vt:variant>
        <vt:i4>-1</vt:i4>
      </vt:variant>
      <vt:variant>
        <vt:i4>2058</vt:i4>
      </vt:variant>
      <vt:variant>
        <vt:i4>1</vt:i4>
      </vt:variant>
      <vt:variant>
        <vt:lpwstr>https://licensebuttons.net/l/by-nc/4.0/88x31.png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 Ramadhana</dc:creator>
  <cp:keywords/>
  <dc:description/>
  <cp:lastModifiedBy>Comment</cp:lastModifiedBy>
  <cp:revision>4</cp:revision>
  <cp:lastPrinted>2023-10-04T22:50:00Z</cp:lastPrinted>
  <dcterms:created xsi:type="dcterms:W3CDTF">2023-10-26T11:51:00Z</dcterms:created>
  <dcterms:modified xsi:type="dcterms:W3CDTF">2023-10-31T01:46:00Z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a32191a0-97f3-386c-acf6-d69d79a41d81</vt:lpwstr>
  </property>
  <property fmtid="{D5CDD505-2E9C-101B-9397-08002B2CF9AE}" pid="24" name="Mendeley Citation Style_1">
    <vt:lpwstr>http://www.zotero.org/styles/apa</vt:lpwstr>
  </property>
</Properties>
</file>